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04" w:rsidRDefault="00C77C4E">
      <w:r>
        <w:rPr>
          <w:noProof/>
          <w:lang w:eastAsia="tr-TR"/>
        </w:rPr>
        <w:drawing>
          <wp:inline distT="0" distB="0" distL="0" distR="0">
            <wp:extent cx="5760720" cy="43205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YA FLAG.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C77C4E" w:rsidRDefault="00C77C4E" w:rsidP="00C77C4E">
      <w:pPr>
        <w:jc w:val="center"/>
      </w:pPr>
    </w:p>
    <w:p w:rsidR="00C77C4E" w:rsidRDefault="00C77C4E" w:rsidP="00C77C4E">
      <w:pPr>
        <w:jc w:val="center"/>
      </w:pPr>
    </w:p>
    <w:p w:rsidR="00C77C4E" w:rsidRDefault="00C77C4E" w:rsidP="00C77C4E">
      <w:pPr>
        <w:jc w:val="center"/>
        <w:rPr>
          <w:rFonts w:ascii="Cambria" w:hAnsi="Cambria" w:cs="Cambria"/>
          <w:sz w:val="52"/>
          <w:szCs w:val="52"/>
        </w:rPr>
      </w:pPr>
      <w:r w:rsidRPr="00C77C4E">
        <w:rPr>
          <w:rFonts w:ascii="Algerian" w:hAnsi="Algerian"/>
          <w:sz w:val="52"/>
          <w:szCs w:val="52"/>
        </w:rPr>
        <w:t>H</w:t>
      </w:r>
      <w:r w:rsidRPr="00C77C4E">
        <w:rPr>
          <w:rFonts w:ascii="Cambria" w:hAnsi="Cambria" w:cs="Cambria"/>
          <w:sz w:val="52"/>
          <w:szCs w:val="52"/>
        </w:rPr>
        <w:t>İ</w:t>
      </w:r>
      <w:r w:rsidRPr="00C77C4E">
        <w:rPr>
          <w:rFonts w:ascii="Algerian" w:hAnsi="Algerian"/>
          <w:sz w:val="52"/>
          <w:szCs w:val="52"/>
        </w:rPr>
        <w:t>ND</w:t>
      </w:r>
      <w:r w:rsidRPr="00C77C4E">
        <w:rPr>
          <w:rFonts w:ascii="Cambria" w:hAnsi="Cambria" w:cs="Cambria"/>
          <w:sz w:val="52"/>
          <w:szCs w:val="52"/>
        </w:rPr>
        <w:t>İ</w:t>
      </w:r>
      <w:r w:rsidRPr="00C77C4E">
        <w:rPr>
          <w:rFonts w:ascii="Algerian" w:hAnsi="Algerian"/>
          <w:sz w:val="52"/>
          <w:szCs w:val="52"/>
        </w:rPr>
        <w:t>STAN ÜLKE PROF</w:t>
      </w:r>
      <w:r w:rsidRPr="00C77C4E">
        <w:rPr>
          <w:rFonts w:ascii="Cambria" w:hAnsi="Cambria" w:cs="Cambria"/>
          <w:sz w:val="52"/>
          <w:szCs w:val="52"/>
        </w:rPr>
        <w:t>İ</w:t>
      </w:r>
      <w:r w:rsidRPr="00C77C4E">
        <w:rPr>
          <w:rFonts w:ascii="Algerian" w:hAnsi="Algerian"/>
          <w:sz w:val="52"/>
          <w:szCs w:val="52"/>
        </w:rPr>
        <w:t>L</w:t>
      </w:r>
      <w:r w:rsidRPr="00C77C4E">
        <w:rPr>
          <w:rFonts w:ascii="Cambria" w:hAnsi="Cambria" w:cs="Cambria"/>
          <w:sz w:val="52"/>
          <w:szCs w:val="52"/>
        </w:rPr>
        <w:t>İ</w:t>
      </w:r>
    </w:p>
    <w:p w:rsidR="00C77C4E" w:rsidRDefault="00C77C4E" w:rsidP="00C77C4E">
      <w:pPr>
        <w:jc w:val="center"/>
        <w:rPr>
          <w:rFonts w:ascii="Algerian" w:hAnsi="Algerian"/>
          <w:sz w:val="52"/>
          <w:szCs w:val="52"/>
        </w:rPr>
      </w:pPr>
    </w:p>
    <w:p w:rsidR="00C77C4E" w:rsidRDefault="00C77C4E" w:rsidP="00C77C4E">
      <w:pPr>
        <w:jc w:val="center"/>
        <w:rPr>
          <w:rFonts w:ascii="Algerian" w:hAnsi="Algerian"/>
          <w:sz w:val="52"/>
          <w:szCs w:val="52"/>
        </w:rPr>
      </w:pPr>
    </w:p>
    <w:p w:rsidR="00C77C4E" w:rsidRDefault="00C77C4E" w:rsidP="00C77C4E">
      <w:pPr>
        <w:jc w:val="center"/>
        <w:rPr>
          <w:rFonts w:ascii="Algerian" w:hAnsi="Algerian"/>
          <w:sz w:val="52"/>
          <w:szCs w:val="52"/>
        </w:rPr>
      </w:pPr>
    </w:p>
    <w:p w:rsidR="00C77C4E" w:rsidRDefault="00C77C4E" w:rsidP="00C77C4E">
      <w:pPr>
        <w:jc w:val="center"/>
        <w:rPr>
          <w:rFonts w:ascii="Algerian" w:hAnsi="Algerian"/>
          <w:sz w:val="52"/>
          <w:szCs w:val="52"/>
        </w:rPr>
      </w:pPr>
      <w:r>
        <w:rPr>
          <w:noProof/>
          <w:lang w:eastAsia="tr-TR"/>
        </w:rPr>
        <w:drawing>
          <wp:inline distT="0" distB="0" distL="0" distR="0" wp14:anchorId="111208E0" wp14:editId="7BEB432D">
            <wp:extent cx="948531" cy="1209675"/>
            <wp:effectExtent l="0" t="0" r="4445" b="0"/>
            <wp:docPr id="2" name="Resim 2"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521" cy="1242820"/>
                    </a:xfrm>
                    <a:prstGeom prst="rect">
                      <a:avLst/>
                    </a:prstGeom>
                    <a:noFill/>
                    <a:ln>
                      <a:noFill/>
                    </a:ln>
                  </pic:spPr>
                </pic:pic>
              </a:graphicData>
            </a:graphic>
          </wp:inline>
        </w:drawing>
      </w:r>
    </w:p>
    <w:p w:rsidR="00C77C4E" w:rsidRDefault="00C77C4E" w:rsidP="00C77C4E">
      <w:pPr>
        <w:rPr>
          <w:rFonts w:ascii="Arial" w:hAnsi="Arial" w:cs="Arial"/>
          <w:sz w:val="28"/>
          <w:szCs w:val="28"/>
        </w:rPr>
      </w:pPr>
    </w:p>
    <w:p w:rsidR="00C77C4E" w:rsidRPr="00C77C4E" w:rsidRDefault="00C77C4E" w:rsidP="00C77C4E">
      <w:pPr>
        <w:jc w:val="both"/>
        <w:rPr>
          <w:rFonts w:ascii="Arial" w:hAnsi="Arial" w:cs="Arial"/>
          <w:b/>
          <w:sz w:val="28"/>
          <w:szCs w:val="28"/>
        </w:rPr>
      </w:pPr>
      <w:r w:rsidRPr="00C77C4E">
        <w:rPr>
          <w:rFonts w:ascii="Arial" w:hAnsi="Arial" w:cs="Arial"/>
          <w:b/>
          <w:sz w:val="28"/>
          <w:szCs w:val="28"/>
        </w:rPr>
        <w:lastRenderedPageBreak/>
        <w:t>İçindekiler:</w:t>
      </w:r>
    </w:p>
    <w:p w:rsidR="00C77C4E" w:rsidRPr="00C77C4E" w:rsidRDefault="00C77C4E" w:rsidP="00C77C4E">
      <w:pPr>
        <w:jc w:val="both"/>
        <w:rPr>
          <w:rFonts w:ascii="Arial" w:hAnsi="Arial" w:cs="Arial"/>
          <w:sz w:val="24"/>
          <w:szCs w:val="28"/>
        </w:rPr>
      </w:pPr>
      <w:r w:rsidRPr="00C77C4E">
        <w:rPr>
          <w:rFonts w:ascii="Arial" w:hAnsi="Arial" w:cs="Arial"/>
          <w:sz w:val="24"/>
          <w:szCs w:val="28"/>
        </w:rPr>
        <w:t xml:space="preserve">GENEL BİLGİLER </w:t>
      </w:r>
    </w:p>
    <w:p w:rsidR="00C77C4E" w:rsidRPr="00C77C4E" w:rsidRDefault="00C77C4E" w:rsidP="00C77C4E">
      <w:pPr>
        <w:jc w:val="both"/>
        <w:rPr>
          <w:rFonts w:ascii="Arial" w:hAnsi="Arial" w:cs="Arial"/>
          <w:sz w:val="24"/>
          <w:szCs w:val="28"/>
        </w:rPr>
      </w:pPr>
      <w:r w:rsidRPr="00C77C4E">
        <w:rPr>
          <w:rFonts w:ascii="Arial" w:hAnsi="Arial" w:cs="Arial"/>
          <w:sz w:val="24"/>
          <w:szCs w:val="28"/>
        </w:rPr>
        <w:t>GENEL EKONOMİK DURUMU</w:t>
      </w:r>
    </w:p>
    <w:p w:rsidR="00C77C4E" w:rsidRPr="00C77C4E" w:rsidRDefault="00C77C4E" w:rsidP="00C77C4E">
      <w:pPr>
        <w:jc w:val="both"/>
        <w:rPr>
          <w:rFonts w:ascii="Arial" w:hAnsi="Arial" w:cs="Arial"/>
          <w:sz w:val="24"/>
          <w:szCs w:val="28"/>
        </w:rPr>
      </w:pPr>
      <w:r w:rsidRPr="00C77C4E">
        <w:rPr>
          <w:rFonts w:ascii="Arial" w:hAnsi="Arial" w:cs="Arial"/>
          <w:sz w:val="24"/>
          <w:szCs w:val="28"/>
        </w:rPr>
        <w:t xml:space="preserve">DIŞ TİCARET </w:t>
      </w:r>
    </w:p>
    <w:p w:rsidR="00C77C4E" w:rsidRPr="00C77C4E" w:rsidRDefault="00C77C4E" w:rsidP="00C77C4E">
      <w:pPr>
        <w:jc w:val="both"/>
        <w:rPr>
          <w:rFonts w:ascii="Arial" w:hAnsi="Arial" w:cs="Arial"/>
          <w:sz w:val="24"/>
          <w:szCs w:val="28"/>
        </w:rPr>
      </w:pPr>
      <w:r w:rsidRPr="00C77C4E">
        <w:rPr>
          <w:rFonts w:ascii="Arial" w:hAnsi="Arial" w:cs="Arial"/>
          <w:sz w:val="24"/>
          <w:szCs w:val="28"/>
        </w:rPr>
        <w:t xml:space="preserve">YATIRIMLAR </w:t>
      </w:r>
    </w:p>
    <w:p w:rsidR="00C77C4E" w:rsidRDefault="00C77C4E" w:rsidP="00C77C4E">
      <w:pPr>
        <w:jc w:val="both"/>
        <w:rPr>
          <w:rFonts w:ascii="Arial" w:hAnsi="Arial" w:cs="Arial"/>
          <w:sz w:val="24"/>
          <w:szCs w:val="28"/>
        </w:rPr>
      </w:pPr>
      <w:r w:rsidRPr="00C77C4E">
        <w:rPr>
          <w:rFonts w:ascii="Arial" w:hAnsi="Arial" w:cs="Arial"/>
          <w:sz w:val="24"/>
          <w:szCs w:val="28"/>
        </w:rPr>
        <w:t>TÜRKİYE İLE TİCARET</w:t>
      </w:r>
    </w:p>
    <w:p w:rsidR="00C77C4E" w:rsidRDefault="00C77C4E">
      <w:pPr>
        <w:rPr>
          <w:rFonts w:ascii="Arial" w:hAnsi="Arial" w:cs="Arial"/>
          <w:sz w:val="24"/>
          <w:szCs w:val="28"/>
        </w:rPr>
      </w:pPr>
      <w:r>
        <w:rPr>
          <w:rFonts w:ascii="Arial" w:hAnsi="Arial" w:cs="Arial"/>
          <w:sz w:val="24"/>
          <w:szCs w:val="28"/>
        </w:rPr>
        <w:br w:type="page"/>
      </w:r>
    </w:p>
    <w:p w:rsidR="00C77C4E" w:rsidRPr="007101AF" w:rsidRDefault="00C77C4E" w:rsidP="00C77C4E">
      <w:pPr>
        <w:jc w:val="both"/>
        <w:rPr>
          <w:rFonts w:ascii="Arial" w:hAnsi="Arial" w:cs="Arial"/>
          <w:b/>
          <w:sz w:val="28"/>
          <w:szCs w:val="28"/>
        </w:rPr>
      </w:pPr>
      <w:r w:rsidRPr="007101AF">
        <w:rPr>
          <w:rFonts w:ascii="Arial" w:hAnsi="Arial" w:cs="Arial"/>
          <w:b/>
          <w:sz w:val="28"/>
          <w:szCs w:val="28"/>
        </w:rPr>
        <w:lastRenderedPageBreak/>
        <w:t>1. GENEL BİLGİLER</w:t>
      </w:r>
    </w:p>
    <w:p w:rsidR="00C77C4E" w:rsidRPr="00637110" w:rsidRDefault="00C77C4E" w:rsidP="00C77C4E">
      <w:pPr>
        <w:jc w:val="both"/>
        <w:rPr>
          <w:rFonts w:ascii="Arial" w:hAnsi="Arial" w:cs="Arial"/>
          <w:b/>
          <w:sz w:val="24"/>
          <w:szCs w:val="28"/>
        </w:rPr>
      </w:pPr>
      <w:r w:rsidRPr="00637110">
        <w:rPr>
          <w:rFonts w:ascii="Arial" w:hAnsi="Arial" w:cs="Arial"/>
          <w:b/>
          <w:sz w:val="24"/>
          <w:szCs w:val="28"/>
        </w:rPr>
        <w:t>Başlıca Sosyal Göstergeler</w:t>
      </w:r>
    </w:p>
    <w:tbl>
      <w:tblPr>
        <w:tblStyle w:val="TabloKlavuzu"/>
        <w:tblW w:w="0" w:type="auto"/>
        <w:tblLook w:val="04A0" w:firstRow="1" w:lastRow="0" w:firstColumn="1" w:lastColumn="0" w:noHBand="0" w:noVBand="1"/>
      </w:tblPr>
      <w:tblGrid>
        <w:gridCol w:w="3114"/>
        <w:gridCol w:w="5948"/>
      </w:tblGrid>
      <w:tr w:rsidR="00C77C4E" w:rsidTr="00C77C4E">
        <w:tc>
          <w:tcPr>
            <w:tcW w:w="3114" w:type="dxa"/>
          </w:tcPr>
          <w:p w:rsidR="00C77C4E" w:rsidRPr="00637110" w:rsidRDefault="00C77C4E" w:rsidP="00C77C4E">
            <w:pPr>
              <w:jc w:val="both"/>
              <w:rPr>
                <w:rFonts w:ascii="Arial" w:hAnsi="Arial" w:cs="Arial"/>
                <w:b/>
                <w:sz w:val="24"/>
                <w:szCs w:val="28"/>
              </w:rPr>
            </w:pPr>
            <w:r w:rsidRPr="00637110">
              <w:rPr>
                <w:rFonts w:ascii="Arial" w:hAnsi="Arial" w:cs="Arial"/>
                <w:b/>
                <w:sz w:val="24"/>
                <w:szCs w:val="28"/>
              </w:rPr>
              <w:t>Resmi Adı</w:t>
            </w:r>
          </w:p>
        </w:tc>
        <w:tc>
          <w:tcPr>
            <w:tcW w:w="5948" w:type="dxa"/>
          </w:tcPr>
          <w:p w:rsidR="00C77C4E" w:rsidRDefault="00C77C4E" w:rsidP="00C77C4E">
            <w:pPr>
              <w:jc w:val="both"/>
              <w:rPr>
                <w:rFonts w:ascii="Arial" w:hAnsi="Arial" w:cs="Arial"/>
                <w:sz w:val="24"/>
                <w:szCs w:val="28"/>
              </w:rPr>
            </w:pPr>
            <w:r w:rsidRPr="00C77C4E">
              <w:rPr>
                <w:rFonts w:ascii="Arial" w:hAnsi="Arial" w:cs="Arial"/>
                <w:sz w:val="24"/>
                <w:szCs w:val="28"/>
              </w:rPr>
              <w:t>Hindis</w:t>
            </w:r>
            <w:r>
              <w:rPr>
                <w:rFonts w:ascii="Arial" w:hAnsi="Arial" w:cs="Arial"/>
                <w:sz w:val="24"/>
                <w:szCs w:val="28"/>
              </w:rPr>
              <w:t>tan Cumhuriyeti (</w:t>
            </w:r>
            <w:proofErr w:type="spellStart"/>
            <w:r w:rsidRPr="00C77C4E">
              <w:rPr>
                <w:rFonts w:ascii="Arial" w:hAnsi="Arial" w:cs="Arial"/>
                <w:color w:val="1F1F1F"/>
                <w:sz w:val="24"/>
                <w:szCs w:val="30"/>
                <w:shd w:val="clear" w:color="auto" w:fill="FFFFFF"/>
              </w:rPr>
              <w:t>Bhārat</w:t>
            </w:r>
            <w:proofErr w:type="spellEnd"/>
            <w:r w:rsidRPr="00C77C4E">
              <w:rPr>
                <w:rFonts w:ascii="Arial" w:hAnsi="Arial" w:cs="Arial"/>
                <w:color w:val="1F1F1F"/>
                <w:sz w:val="24"/>
                <w:szCs w:val="30"/>
                <w:shd w:val="clear" w:color="auto" w:fill="FFFFFF"/>
              </w:rPr>
              <w:t xml:space="preserve"> </w:t>
            </w:r>
            <w:proofErr w:type="spellStart"/>
            <w:r w:rsidRPr="00C77C4E">
              <w:rPr>
                <w:rFonts w:ascii="Arial" w:hAnsi="Arial" w:cs="Arial"/>
                <w:color w:val="1F1F1F"/>
                <w:sz w:val="24"/>
                <w:szCs w:val="30"/>
                <w:shd w:val="clear" w:color="auto" w:fill="FFFFFF"/>
              </w:rPr>
              <w:t>Gaṇarājya</w:t>
            </w:r>
            <w:proofErr w:type="spellEnd"/>
            <w:r w:rsidRPr="00C77C4E">
              <w:rPr>
                <w:rFonts w:ascii="Arial" w:hAnsi="Arial" w:cs="Arial"/>
                <w:sz w:val="24"/>
                <w:szCs w:val="28"/>
              </w:rPr>
              <w:t>)</w:t>
            </w:r>
          </w:p>
        </w:tc>
      </w:tr>
      <w:tr w:rsidR="00C77C4E" w:rsidTr="00C77C4E">
        <w:tc>
          <w:tcPr>
            <w:tcW w:w="3114" w:type="dxa"/>
          </w:tcPr>
          <w:p w:rsidR="00C77C4E" w:rsidRPr="00637110" w:rsidRDefault="00C77C4E" w:rsidP="00C77C4E">
            <w:pPr>
              <w:jc w:val="both"/>
              <w:rPr>
                <w:rFonts w:ascii="Arial" w:hAnsi="Arial" w:cs="Arial"/>
                <w:b/>
                <w:sz w:val="24"/>
                <w:szCs w:val="28"/>
              </w:rPr>
            </w:pPr>
            <w:r w:rsidRPr="00637110">
              <w:rPr>
                <w:rFonts w:ascii="Arial" w:hAnsi="Arial" w:cs="Arial"/>
                <w:b/>
                <w:sz w:val="24"/>
                <w:szCs w:val="28"/>
              </w:rPr>
              <w:t>Nüfus</w:t>
            </w:r>
          </w:p>
        </w:tc>
        <w:tc>
          <w:tcPr>
            <w:tcW w:w="5948" w:type="dxa"/>
          </w:tcPr>
          <w:p w:rsidR="00C77C4E" w:rsidRDefault="00637110" w:rsidP="00C77C4E">
            <w:pPr>
              <w:jc w:val="both"/>
              <w:rPr>
                <w:rFonts w:ascii="Arial" w:hAnsi="Arial" w:cs="Arial"/>
                <w:sz w:val="24"/>
                <w:szCs w:val="28"/>
              </w:rPr>
            </w:pPr>
            <w:r>
              <w:rPr>
                <w:rFonts w:ascii="Arial" w:hAnsi="Arial" w:cs="Arial"/>
                <w:sz w:val="24"/>
                <w:szCs w:val="28"/>
              </w:rPr>
              <w:t>1,428,627,663</w:t>
            </w:r>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Dil</w:t>
            </w:r>
          </w:p>
        </w:tc>
        <w:tc>
          <w:tcPr>
            <w:tcW w:w="5948" w:type="dxa"/>
          </w:tcPr>
          <w:p w:rsidR="00C77C4E" w:rsidRDefault="00637110" w:rsidP="00C77C4E">
            <w:pPr>
              <w:jc w:val="both"/>
              <w:rPr>
                <w:rFonts w:ascii="Arial" w:hAnsi="Arial" w:cs="Arial"/>
                <w:sz w:val="24"/>
                <w:szCs w:val="28"/>
              </w:rPr>
            </w:pPr>
            <w:r w:rsidRPr="00637110">
              <w:rPr>
                <w:rFonts w:ascii="Arial" w:hAnsi="Arial" w:cs="Arial"/>
                <w:sz w:val="24"/>
                <w:szCs w:val="28"/>
              </w:rPr>
              <w:t xml:space="preserve">Hindistan'ın resmi dilleri, 22 tanedir. Bunlar; Hintçe, </w:t>
            </w:r>
            <w:proofErr w:type="spellStart"/>
            <w:r w:rsidRPr="00637110">
              <w:rPr>
                <w:rFonts w:ascii="Arial" w:hAnsi="Arial" w:cs="Arial"/>
                <w:sz w:val="24"/>
                <w:szCs w:val="28"/>
              </w:rPr>
              <w:t>Assamca</w:t>
            </w:r>
            <w:proofErr w:type="spellEnd"/>
            <w:r w:rsidRPr="00637110">
              <w:rPr>
                <w:rFonts w:ascii="Arial" w:hAnsi="Arial" w:cs="Arial"/>
                <w:sz w:val="24"/>
                <w:szCs w:val="28"/>
              </w:rPr>
              <w:t xml:space="preserve">, Bengalce, </w:t>
            </w:r>
            <w:proofErr w:type="spellStart"/>
            <w:r w:rsidRPr="00637110">
              <w:rPr>
                <w:rFonts w:ascii="Arial" w:hAnsi="Arial" w:cs="Arial"/>
                <w:sz w:val="24"/>
                <w:szCs w:val="28"/>
              </w:rPr>
              <w:t>Bodo</w:t>
            </w:r>
            <w:proofErr w:type="spellEnd"/>
            <w:r w:rsidRPr="00637110">
              <w:rPr>
                <w:rFonts w:ascii="Arial" w:hAnsi="Arial" w:cs="Arial"/>
                <w:sz w:val="24"/>
                <w:szCs w:val="28"/>
              </w:rPr>
              <w:t xml:space="preserve">, </w:t>
            </w:r>
            <w:proofErr w:type="spellStart"/>
            <w:r w:rsidRPr="00637110">
              <w:rPr>
                <w:rFonts w:ascii="Arial" w:hAnsi="Arial" w:cs="Arial"/>
                <w:sz w:val="24"/>
                <w:szCs w:val="28"/>
              </w:rPr>
              <w:t>Dogri</w:t>
            </w:r>
            <w:proofErr w:type="spellEnd"/>
            <w:r w:rsidRPr="00637110">
              <w:rPr>
                <w:rFonts w:ascii="Arial" w:hAnsi="Arial" w:cs="Arial"/>
                <w:sz w:val="24"/>
                <w:szCs w:val="28"/>
              </w:rPr>
              <w:t xml:space="preserve">, </w:t>
            </w:r>
            <w:proofErr w:type="spellStart"/>
            <w:r w:rsidRPr="00637110">
              <w:rPr>
                <w:rFonts w:ascii="Arial" w:hAnsi="Arial" w:cs="Arial"/>
                <w:sz w:val="24"/>
                <w:szCs w:val="28"/>
              </w:rPr>
              <w:t>Güceratça</w:t>
            </w:r>
            <w:proofErr w:type="spellEnd"/>
            <w:r w:rsidRPr="00637110">
              <w:rPr>
                <w:rFonts w:ascii="Arial" w:hAnsi="Arial" w:cs="Arial"/>
                <w:sz w:val="24"/>
                <w:szCs w:val="28"/>
              </w:rPr>
              <w:t xml:space="preserve">, Kannada, Keşmirce, </w:t>
            </w:r>
            <w:proofErr w:type="spellStart"/>
            <w:r w:rsidRPr="00637110">
              <w:rPr>
                <w:rFonts w:ascii="Arial" w:hAnsi="Arial" w:cs="Arial"/>
                <w:sz w:val="24"/>
                <w:szCs w:val="28"/>
              </w:rPr>
              <w:t>Konkani</w:t>
            </w:r>
            <w:proofErr w:type="spellEnd"/>
            <w:r w:rsidRPr="00637110">
              <w:rPr>
                <w:rFonts w:ascii="Arial" w:hAnsi="Arial" w:cs="Arial"/>
                <w:sz w:val="24"/>
                <w:szCs w:val="28"/>
              </w:rPr>
              <w:t xml:space="preserve">, </w:t>
            </w:r>
            <w:proofErr w:type="spellStart"/>
            <w:r w:rsidRPr="00637110">
              <w:rPr>
                <w:rFonts w:ascii="Arial" w:hAnsi="Arial" w:cs="Arial"/>
                <w:sz w:val="24"/>
                <w:szCs w:val="28"/>
              </w:rPr>
              <w:t>Maithili</w:t>
            </w:r>
            <w:proofErr w:type="spellEnd"/>
            <w:r w:rsidRPr="00637110">
              <w:rPr>
                <w:rFonts w:ascii="Arial" w:hAnsi="Arial" w:cs="Arial"/>
                <w:sz w:val="24"/>
                <w:szCs w:val="28"/>
              </w:rPr>
              <w:t xml:space="preserve">, </w:t>
            </w:r>
            <w:proofErr w:type="spellStart"/>
            <w:r w:rsidRPr="00637110">
              <w:rPr>
                <w:rFonts w:ascii="Arial" w:hAnsi="Arial" w:cs="Arial"/>
                <w:sz w:val="24"/>
                <w:szCs w:val="28"/>
              </w:rPr>
              <w:t>Malayalamca</w:t>
            </w:r>
            <w:proofErr w:type="spellEnd"/>
            <w:r w:rsidRPr="00637110">
              <w:rPr>
                <w:rFonts w:ascii="Arial" w:hAnsi="Arial" w:cs="Arial"/>
                <w:sz w:val="24"/>
                <w:szCs w:val="28"/>
              </w:rPr>
              <w:t xml:space="preserve">, </w:t>
            </w:r>
            <w:proofErr w:type="spellStart"/>
            <w:r w:rsidRPr="00637110">
              <w:rPr>
                <w:rFonts w:ascii="Arial" w:hAnsi="Arial" w:cs="Arial"/>
                <w:sz w:val="24"/>
                <w:szCs w:val="28"/>
              </w:rPr>
              <w:t>Meitei</w:t>
            </w:r>
            <w:proofErr w:type="spellEnd"/>
            <w:r w:rsidRPr="00637110">
              <w:rPr>
                <w:rFonts w:ascii="Arial" w:hAnsi="Arial" w:cs="Arial"/>
                <w:sz w:val="24"/>
                <w:szCs w:val="28"/>
              </w:rPr>
              <w:t xml:space="preserve">, </w:t>
            </w:r>
            <w:proofErr w:type="spellStart"/>
            <w:proofErr w:type="gramStart"/>
            <w:r w:rsidRPr="00637110">
              <w:rPr>
                <w:rFonts w:ascii="Arial" w:hAnsi="Arial" w:cs="Arial"/>
                <w:sz w:val="24"/>
                <w:szCs w:val="28"/>
              </w:rPr>
              <w:t>Marathice,Nepalce</w:t>
            </w:r>
            <w:proofErr w:type="spellEnd"/>
            <w:proofErr w:type="gramEnd"/>
            <w:r w:rsidRPr="00637110">
              <w:rPr>
                <w:rFonts w:ascii="Arial" w:hAnsi="Arial" w:cs="Arial"/>
                <w:sz w:val="24"/>
                <w:szCs w:val="28"/>
              </w:rPr>
              <w:t xml:space="preserve">, </w:t>
            </w:r>
            <w:proofErr w:type="spellStart"/>
            <w:r w:rsidRPr="00637110">
              <w:rPr>
                <w:rFonts w:ascii="Arial" w:hAnsi="Arial" w:cs="Arial"/>
                <w:sz w:val="24"/>
                <w:szCs w:val="28"/>
              </w:rPr>
              <w:t>Oriya</w:t>
            </w:r>
            <w:proofErr w:type="spellEnd"/>
            <w:r w:rsidRPr="00637110">
              <w:rPr>
                <w:rFonts w:ascii="Arial" w:hAnsi="Arial" w:cs="Arial"/>
                <w:sz w:val="24"/>
                <w:szCs w:val="28"/>
              </w:rPr>
              <w:t xml:space="preserve">, </w:t>
            </w:r>
            <w:proofErr w:type="spellStart"/>
            <w:r w:rsidRPr="00637110">
              <w:rPr>
                <w:rFonts w:ascii="Arial" w:hAnsi="Arial" w:cs="Arial"/>
                <w:sz w:val="24"/>
                <w:szCs w:val="28"/>
              </w:rPr>
              <w:t>Pencapça</w:t>
            </w:r>
            <w:proofErr w:type="spellEnd"/>
            <w:r w:rsidRPr="00637110">
              <w:rPr>
                <w:rFonts w:ascii="Arial" w:hAnsi="Arial" w:cs="Arial"/>
                <w:sz w:val="24"/>
                <w:szCs w:val="28"/>
              </w:rPr>
              <w:t xml:space="preserve">, Sanskrit, </w:t>
            </w:r>
            <w:proofErr w:type="spellStart"/>
            <w:r w:rsidRPr="00637110">
              <w:rPr>
                <w:rFonts w:ascii="Arial" w:hAnsi="Arial" w:cs="Arial"/>
                <w:sz w:val="24"/>
                <w:szCs w:val="28"/>
              </w:rPr>
              <w:t>Santali</w:t>
            </w:r>
            <w:proofErr w:type="spellEnd"/>
            <w:r w:rsidRPr="00637110">
              <w:rPr>
                <w:rFonts w:ascii="Arial" w:hAnsi="Arial" w:cs="Arial"/>
                <w:sz w:val="24"/>
                <w:szCs w:val="28"/>
              </w:rPr>
              <w:t xml:space="preserve">, </w:t>
            </w:r>
            <w:proofErr w:type="spellStart"/>
            <w:r w:rsidRPr="00637110">
              <w:rPr>
                <w:rFonts w:ascii="Arial" w:hAnsi="Arial" w:cs="Arial"/>
                <w:sz w:val="24"/>
                <w:szCs w:val="28"/>
              </w:rPr>
              <w:t>Sindhî</w:t>
            </w:r>
            <w:proofErr w:type="spellEnd"/>
            <w:r w:rsidRPr="00637110">
              <w:rPr>
                <w:rFonts w:ascii="Arial" w:hAnsi="Arial" w:cs="Arial"/>
                <w:sz w:val="24"/>
                <w:szCs w:val="28"/>
              </w:rPr>
              <w:t xml:space="preserve">, Tamilce, </w:t>
            </w:r>
            <w:proofErr w:type="spellStart"/>
            <w:r w:rsidRPr="00637110">
              <w:rPr>
                <w:rFonts w:ascii="Arial" w:hAnsi="Arial" w:cs="Arial"/>
                <w:sz w:val="24"/>
                <w:szCs w:val="28"/>
              </w:rPr>
              <w:t>Teluguca</w:t>
            </w:r>
            <w:proofErr w:type="spellEnd"/>
            <w:r w:rsidRPr="00637110">
              <w:rPr>
                <w:rFonts w:ascii="Arial" w:hAnsi="Arial" w:cs="Arial"/>
                <w:sz w:val="24"/>
                <w:szCs w:val="28"/>
              </w:rPr>
              <w:t xml:space="preserve"> ve </w:t>
            </w:r>
            <w:proofErr w:type="spellStart"/>
            <w:r w:rsidRPr="00637110">
              <w:rPr>
                <w:rFonts w:ascii="Arial" w:hAnsi="Arial" w:cs="Arial"/>
                <w:sz w:val="24"/>
                <w:szCs w:val="28"/>
              </w:rPr>
              <w:t>Urduca'dır</w:t>
            </w:r>
            <w:proofErr w:type="spellEnd"/>
            <w:r w:rsidRPr="00637110">
              <w:rPr>
                <w:rFonts w:ascii="Arial" w:hAnsi="Arial" w:cs="Arial"/>
                <w:sz w:val="24"/>
                <w:szCs w:val="28"/>
              </w:rPr>
              <w:t>.</w:t>
            </w:r>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Yüzölçümü</w:t>
            </w:r>
          </w:p>
        </w:tc>
        <w:tc>
          <w:tcPr>
            <w:tcW w:w="5948" w:type="dxa"/>
          </w:tcPr>
          <w:p w:rsidR="00C77C4E" w:rsidRDefault="00637110" w:rsidP="00C77C4E">
            <w:pPr>
              <w:jc w:val="both"/>
              <w:rPr>
                <w:rFonts w:ascii="Arial" w:hAnsi="Arial" w:cs="Arial"/>
                <w:sz w:val="24"/>
                <w:szCs w:val="28"/>
              </w:rPr>
            </w:pPr>
            <w:r>
              <w:rPr>
                <w:rFonts w:ascii="Arial" w:hAnsi="Arial" w:cs="Arial"/>
                <w:sz w:val="24"/>
                <w:szCs w:val="28"/>
              </w:rPr>
              <w:t xml:space="preserve">3,287,590 km² </w:t>
            </w:r>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Başkent</w:t>
            </w:r>
          </w:p>
        </w:tc>
        <w:tc>
          <w:tcPr>
            <w:tcW w:w="5948" w:type="dxa"/>
          </w:tcPr>
          <w:p w:rsidR="00C77C4E" w:rsidRDefault="00637110" w:rsidP="00C77C4E">
            <w:pPr>
              <w:jc w:val="both"/>
              <w:rPr>
                <w:rFonts w:ascii="Arial" w:hAnsi="Arial" w:cs="Arial"/>
                <w:sz w:val="24"/>
                <w:szCs w:val="28"/>
              </w:rPr>
            </w:pPr>
            <w:r>
              <w:rPr>
                <w:rFonts w:ascii="Arial" w:hAnsi="Arial" w:cs="Arial"/>
                <w:sz w:val="24"/>
                <w:szCs w:val="28"/>
              </w:rPr>
              <w:t>Yeni Delhi</w:t>
            </w:r>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Başlıca Şehirleri</w:t>
            </w:r>
          </w:p>
        </w:tc>
        <w:tc>
          <w:tcPr>
            <w:tcW w:w="5948" w:type="dxa"/>
          </w:tcPr>
          <w:p w:rsidR="00C77C4E" w:rsidRDefault="00637110" w:rsidP="00C77C4E">
            <w:pPr>
              <w:jc w:val="both"/>
              <w:rPr>
                <w:rFonts w:ascii="Arial" w:hAnsi="Arial" w:cs="Arial"/>
                <w:sz w:val="24"/>
                <w:szCs w:val="28"/>
              </w:rPr>
            </w:pPr>
            <w:proofErr w:type="spellStart"/>
            <w:r w:rsidRPr="00637110">
              <w:rPr>
                <w:rFonts w:ascii="Arial" w:hAnsi="Arial" w:cs="Arial"/>
                <w:sz w:val="24"/>
                <w:szCs w:val="28"/>
              </w:rPr>
              <w:t>Agra</w:t>
            </w:r>
            <w:proofErr w:type="spellEnd"/>
            <w:r w:rsidRPr="00637110">
              <w:rPr>
                <w:rFonts w:ascii="Arial" w:hAnsi="Arial" w:cs="Arial"/>
                <w:sz w:val="24"/>
                <w:szCs w:val="28"/>
              </w:rPr>
              <w:t xml:space="preserve">, </w:t>
            </w:r>
            <w:proofErr w:type="spellStart"/>
            <w:r w:rsidRPr="00637110">
              <w:rPr>
                <w:rFonts w:ascii="Arial" w:hAnsi="Arial" w:cs="Arial"/>
                <w:sz w:val="24"/>
                <w:szCs w:val="28"/>
              </w:rPr>
              <w:t>Chandigarh</w:t>
            </w:r>
            <w:proofErr w:type="spellEnd"/>
            <w:r w:rsidRPr="00637110">
              <w:rPr>
                <w:rFonts w:ascii="Arial" w:hAnsi="Arial" w:cs="Arial"/>
                <w:sz w:val="24"/>
                <w:szCs w:val="28"/>
              </w:rPr>
              <w:t xml:space="preserve">, </w:t>
            </w:r>
            <w:proofErr w:type="spellStart"/>
            <w:r w:rsidRPr="00637110">
              <w:rPr>
                <w:rFonts w:ascii="Arial" w:hAnsi="Arial" w:cs="Arial"/>
                <w:sz w:val="24"/>
                <w:szCs w:val="28"/>
              </w:rPr>
              <w:t>Jaypur</w:t>
            </w:r>
            <w:proofErr w:type="spellEnd"/>
            <w:r w:rsidRPr="00637110">
              <w:rPr>
                <w:rFonts w:ascii="Arial" w:hAnsi="Arial" w:cs="Arial"/>
                <w:sz w:val="24"/>
                <w:szCs w:val="28"/>
              </w:rPr>
              <w:t xml:space="preserve">, </w:t>
            </w:r>
            <w:proofErr w:type="spellStart"/>
            <w:r w:rsidRPr="00637110">
              <w:rPr>
                <w:rFonts w:ascii="Arial" w:hAnsi="Arial" w:cs="Arial"/>
                <w:sz w:val="24"/>
                <w:szCs w:val="28"/>
              </w:rPr>
              <w:t>Ahmedabad</w:t>
            </w:r>
            <w:proofErr w:type="spellEnd"/>
            <w:r w:rsidRPr="00637110">
              <w:rPr>
                <w:rFonts w:ascii="Arial" w:hAnsi="Arial" w:cs="Arial"/>
                <w:sz w:val="24"/>
                <w:szCs w:val="28"/>
              </w:rPr>
              <w:t xml:space="preserve">, </w:t>
            </w:r>
            <w:proofErr w:type="spellStart"/>
            <w:r w:rsidRPr="00637110">
              <w:rPr>
                <w:rFonts w:ascii="Arial" w:hAnsi="Arial" w:cs="Arial"/>
                <w:sz w:val="24"/>
                <w:szCs w:val="28"/>
              </w:rPr>
              <w:t>Chennai</w:t>
            </w:r>
            <w:proofErr w:type="spellEnd"/>
            <w:r w:rsidRPr="00637110">
              <w:rPr>
                <w:rFonts w:ascii="Arial" w:hAnsi="Arial" w:cs="Arial"/>
                <w:sz w:val="24"/>
                <w:szCs w:val="28"/>
              </w:rPr>
              <w:t xml:space="preserve">, Bombay, </w:t>
            </w:r>
            <w:proofErr w:type="spellStart"/>
            <w:r w:rsidRPr="00637110">
              <w:rPr>
                <w:rFonts w:ascii="Arial" w:hAnsi="Arial" w:cs="Arial"/>
                <w:sz w:val="24"/>
                <w:szCs w:val="28"/>
              </w:rPr>
              <w:t>Bangalor</w:t>
            </w:r>
            <w:proofErr w:type="spellEnd"/>
            <w:r w:rsidRPr="00637110">
              <w:rPr>
                <w:rFonts w:ascii="Arial" w:hAnsi="Arial" w:cs="Arial"/>
                <w:sz w:val="24"/>
                <w:szCs w:val="28"/>
              </w:rPr>
              <w:t xml:space="preserve">, </w:t>
            </w:r>
            <w:proofErr w:type="spellStart"/>
            <w:r w:rsidRPr="00637110">
              <w:rPr>
                <w:rFonts w:ascii="Arial" w:hAnsi="Arial" w:cs="Arial"/>
                <w:sz w:val="24"/>
                <w:szCs w:val="28"/>
              </w:rPr>
              <w:t>Pune</w:t>
            </w:r>
            <w:proofErr w:type="spellEnd"/>
            <w:r w:rsidRPr="00637110">
              <w:rPr>
                <w:rFonts w:ascii="Arial" w:hAnsi="Arial" w:cs="Arial"/>
                <w:sz w:val="24"/>
                <w:szCs w:val="28"/>
              </w:rPr>
              <w:t xml:space="preserve">, Kalküta, </w:t>
            </w:r>
            <w:proofErr w:type="spellStart"/>
            <w:r w:rsidRPr="00637110">
              <w:rPr>
                <w:rFonts w:ascii="Arial" w:hAnsi="Arial" w:cs="Arial"/>
                <w:sz w:val="24"/>
                <w:szCs w:val="28"/>
              </w:rPr>
              <w:t>Hyderabad</w:t>
            </w:r>
            <w:proofErr w:type="spellEnd"/>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Yönetim Şekli</w:t>
            </w:r>
          </w:p>
        </w:tc>
        <w:tc>
          <w:tcPr>
            <w:tcW w:w="5948" w:type="dxa"/>
          </w:tcPr>
          <w:p w:rsidR="00C77C4E" w:rsidRDefault="00637110" w:rsidP="00C77C4E">
            <w:pPr>
              <w:jc w:val="both"/>
              <w:rPr>
                <w:rFonts w:ascii="Arial" w:hAnsi="Arial" w:cs="Arial"/>
                <w:sz w:val="24"/>
                <w:szCs w:val="28"/>
              </w:rPr>
            </w:pPr>
            <w:r w:rsidRPr="00637110">
              <w:rPr>
                <w:rFonts w:ascii="Arial" w:hAnsi="Arial" w:cs="Arial"/>
                <w:sz w:val="24"/>
                <w:szCs w:val="28"/>
              </w:rPr>
              <w:t>Federal Parlamenter Anayasal Cumhuriyet</w:t>
            </w:r>
          </w:p>
        </w:tc>
      </w:tr>
      <w:tr w:rsidR="00C77C4E" w:rsidTr="00C77C4E">
        <w:tc>
          <w:tcPr>
            <w:tcW w:w="3114" w:type="dxa"/>
          </w:tcPr>
          <w:p w:rsidR="00C77C4E" w:rsidRPr="00637110" w:rsidRDefault="00637110" w:rsidP="00C77C4E">
            <w:pPr>
              <w:jc w:val="both"/>
              <w:rPr>
                <w:rFonts w:ascii="Arial" w:hAnsi="Arial" w:cs="Arial"/>
                <w:b/>
                <w:sz w:val="24"/>
                <w:szCs w:val="28"/>
              </w:rPr>
            </w:pPr>
            <w:r w:rsidRPr="00637110">
              <w:rPr>
                <w:rFonts w:ascii="Arial" w:hAnsi="Arial" w:cs="Arial"/>
                <w:b/>
                <w:sz w:val="24"/>
                <w:szCs w:val="28"/>
              </w:rPr>
              <w:t>Devlet Başkanı</w:t>
            </w:r>
          </w:p>
        </w:tc>
        <w:tc>
          <w:tcPr>
            <w:tcW w:w="5948" w:type="dxa"/>
          </w:tcPr>
          <w:p w:rsidR="00C77C4E" w:rsidRDefault="00637110" w:rsidP="00C77C4E">
            <w:pPr>
              <w:jc w:val="both"/>
              <w:rPr>
                <w:rFonts w:ascii="Arial" w:hAnsi="Arial" w:cs="Arial"/>
                <w:sz w:val="24"/>
                <w:szCs w:val="28"/>
              </w:rPr>
            </w:pPr>
            <w:proofErr w:type="spellStart"/>
            <w:r w:rsidRPr="00637110">
              <w:rPr>
                <w:rFonts w:ascii="Arial" w:hAnsi="Arial" w:cs="Arial"/>
                <w:sz w:val="24"/>
                <w:szCs w:val="28"/>
              </w:rPr>
              <w:t>Narendra</w:t>
            </w:r>
            <w:proofErr w:type="spellEnd"/>
            <w:r w:rsidRPr="00637110">
              <w:rPr>
                <w:rFonts w:ascii="Arial" w:hAnsi="Arial" w:cs="Arial"/>
                <w:sz w:val="24"/>
                <w:szCs w:val="28"/>
              </w:rPr>
              <w:t xml:space="preserve"> </w:t>
            </w:r>
            <w:proofErr w:type="spellStart"/>
            <w:r w:rsidRPr="00637110">
              <w:rPr>
                <w:rFonts w:ascii="Arial" w:hAnsi="Arial" w:cs="Arial"/>
                <w:sz w:val="24"/>
                <w:szCs w:val="28"/>
              </w:rPr>
              <w:t>Mod</w:t>
            </w:r>
            <w:r>
              <w:rPr>
                <w:rFonts w:ascii="Arial" w:hAnsi="Arial" w:cs="Arial"/>
                <w:sz w:val="24"/>
                <w:szCs w:val="28"/>
              </w:rPr>
              <w:t>i</w:t>
            </w:r>
            <w:proofErr w:type="spellEnd"/>
          </w:p>
        </w:tc>
      </w:tr>
      <w:tr w:rsidR="00637110" w:rsidTr="00C77C4E">
        <w:tc>
          <w:tcPr>
            <w:tcW w:w="3114" w:type="dxa"/>
          </w:tcPr>
          <w:p w:rsidR="00637110" w:rsidRPr="00637110" w:rsidRDefault="00637110" w:rsidP="00C77C4E">
            <w:pPr>
              <w:jc w:val="both"/>
              <w:rPr>
                <w:rFonts w:ascii="Arial" w:hAnsi="Arial" w:cs="Arial"/>
                <w:b/>
                <w:sz w:val="24"/>
                <w:szCs w:val="28"/>
              </w:rPr>
            </w:pPr>
            <w:r w:rsidRPr="00637110">
              <w:rPr>
                <w:rFonts w:ascii="Arial" w:hAnsi="Arial" w:cs="Arial"/>
                <w:b/>
                <w:sz w:val="24"/>
                <w:szCs w:val="28"/>
              </w:rPr>
              <w:t>Para Birimi</w:t>
            </w:r>
          </w:p>
        </w:tc>
        <w:tc>
          <w:tcPr>
            <w:tcW w:w="5948" w:type="dxa"/>
          </w:tcPr>
          <w:p w:rsidR="00637110" w:rsidRPr="00637110" w:rsidRDefault="00637110" w:rsidP="00C77C4E">
            <w:pPr>
              <w:jc w:val="both"/>
              <w:rPr>
                <w:rFonts w:ascii="Arial" w:hAnsi="Arial" w:cs="Arial"/>
                <w:sz w:val="24"/>
                <w:szCs w:val="28"/>
              </w:rPr>
            </w:pPr>
            <w:r w:rsidRPr="00637110">
              <w:rPr>
                <w:rFonts w:ascii="Arial" w:hAnsi="Arial" w:cs="Arial"/>
                <w:sz w:val="24"/>
                <w:szCs w:val="28"/>
              </w:rPr>
              <w:t>Hint Rupisi (INR)</w:t>
            </w:r>
          </w:p>
        </w:tc>
      </w:tr>
    </w:tbl>
    <w:p w:rsidR="00C77C4E" w:rsidRDefault="00C77C4E" w:rsidP="00C77C4E">
      <w:pPr>
        <w:jc w:val="both"/>
        <w:rPr>
          <w:rFonts w:ascii="Arial" w:hAnsi="Arial" w:cs="Arial"/>
          <w:sz w:val="24"/>
          <w:szCs w:val="28"/>
        </w:rPr>
      </w:pPr>
    </w:p>
    <w:p w:rsidR="00637110" w:rsidRPr="00D62B8D" w:rsidRDefault="00637110" w:rsidP="007101AF">
      <w:pPr>
        <w:jc w:val="both"/>
        <w:rPr>
          <w:rFonts w:ascii="Arial" w:hAnsi="Arial" w:cs="Arial"/>
          <w:b/>
          <w:sz w:val="24"/>
          <w:szCs w:val="28"/>
        </w:rPr>
      </w:pPr>
      <w:r w:rsidRPr="007101AF">
        <w:rPr>
          <w:rFonts w:ascii="Arial" w:hAnsi="Arial" w:cs="Arial"/>
          <w:b/>
          <w:sz w:val="24"/>
          <w:szCs w:val="28"/>
        </w:rPr>
        <w:t xml:space="preserve">Üyesi Olduğu Başlıca Uluslararası </w:t>
      </w:r>
      <w:proofErr w:type="gramStart"/>
      <w:r w:rsidRPr="007101AF">
        <w:rPr>
          <w:rFonts w:ascii="Arial" w:hAnsi="Arial" w:cs="Arial"/>
          <w:b/>
          <w:sz w:val="24"/>
          <w:szCs w:val="28"/>
        </w:rPr>
        <w:t>Kuruluşlar</w:t>
      </w:r>
      <w:r w:rsidR="00423087">
        <w:rPr>
          <w:rFonts w:ascii="Arial" w:hAnsi="Arial" w:cs="Arial"/>
          <w:b/>
          <w:sz w:val="24"/>
          <w:szCs w:val="28"/>
        </w:rPr>
        <w:t xml:space="preserve"> </w:t>
      </w:r>
      <w:r w:rsidRPr="00637110">
        <w:rPr>
          <w:rFonts w:ascii="Arial" w:hAnsi="Arial" w:cs="Arial"/>
          <w:sz w:val="24"/>
          <w:szCs w:val="28"/>
        </w:rPr>
        <w:t>: Asya</w:t>
      </w:r>
      <w:proofErr w:type="gramEnd"/>
      <w:r w:rsidRPr="00637110">
        <w:rPr>
          <w:rFonts w:ascii="Arial" w:hAnsi="Arial" w:cs="Arial"/>
          <w:sz w:val="24"/>
          <w:szCs w:val="28"/>
        </w:rPr>
        <w:t xml:space="preserve"> Kalkınm</w:t>
      </w:r>
      <w:r w:rsidR="007101AF">
        <w:rPr>
          <w:rFonts w:ascii="Arial" w:hAnsi="Arial" w:cs="Arial"/>
          <w:sz w:val="24"/>
          <w:szCs w:val="28"/>
        </w:rPr>
        <w:t xml:space="preserve">a Bankası (ADB), Güneydoğu Asya </w:t>
      </w:r>
      <w:r w:rsidRPr="00637110">
        <w:rPr>
          <w:rFonts w:ascii="Arial" w:hAnsi="Arial" w:cs="Arial"/>
          <w:sz w:val="24"/>
          <w:szCs w:val="28"/>
        </w:rPr>
        <w:t>Ülkeleri Örgütü (ASEAN), BRICS (Brezilya Rusya Hindistan Çin ve Güney Afrika Cum</w:t>
      </w:r>
      <w:r w:rsidR="007101AF">
        <w:rPr>
          <w:rFonts w:ascii="Arial" w:hAnsi="Arial" w:cs="Arial"/>
          <w:sz w:val="24"/>
          <w:szCs w:val="28"/>
        </w:rPr>
        <w:t xml:space="preserve">huriyeti), İngiliz </w:t>
      </w:r>
      <w:r w:rsidRPr="00637110">
        <w:rPr>
          <w:rFonts w:ascii="Arial" w:hAnsi="Arial" w:cs="Arial"/>
          <w:sz w:val="24"/>
          <w:szCs w:val="28"/>
        </w:rPr>
        <w:t>Uluslar Topluluğu (</w:t>
      </w:r>
      <w:proofErr w:type="spellStart"/>
      <w:r w:rsidRPr="00637110">
        <w:rPr>
          <w:rFonts w:ascii="Arial" w:hAnsi="Arial" w:cs="Arial"/>
          <w:sz w:val="24"/>
          <w:szCs w:val="28"/>
        </w:rPr>
        <w:t>Commonwealth</w:t>
      </w:r>
      <w:proofErr w:type="spellEnd"/>
      <w:r w:rsidRPr="00637110">
        <w:rPr>
          <w:rFonts w:ascii="Arial" w:hAnsi="Arial" w:cs="Arial"/>
          <w:sz w:val="24"/>
          <w:szCs w:val="28"/>
        </w:rPr>
        <w:t>), Avrupa İmar ve Kalkınma Bank</w:t>
      </w:r>
      <w:r w:rsidR="007101AF">
        <w:rPr>
          <w:rFonts w:ascii="Arial" w:hAnsi="Arial" w:cs="Arial"/>
          <w:sz w:val="24"/>
          <w:szCs w:val="28"/>
        </w:rPr>
        <w:t xml:space="preserve">ası (EBRD), Birleşmiş Milletler </w:t>
      </w:r>
      <w:r w:rsidRPr="00637110">
        <w:rPr>
          <w:rFonts w:ascii="Arial" w:hAnsi="Arial" w:cs="Arial"/>
          <w:sz w:val="24"/>
          <w:szCs w:val="28"/>
        </w:rPr>
        <w:t>Gıda ve Tarım Örgütü (FAO), Uluslararası Çalışma Örgütü (ILO)</w:t>
      </w:r>
      <w:r w:rsidR="007101AF">
        <w:rPr>
          <w:rFonts w:ascii="Arial" w:hAnsi="Arial" w:cs="Arial"/>
          <w:sz w:val="24"/>
          <w:szCs w:val="28"/>
        </w:rPr>
        <w:t xml:space="preserve">, Uluslararası Para Fonu (IMF), </w:t>
      </w:r>
      <w:r w:rsidRPr="00637110">
        <w:rPr>
          <w:rFonts w:ascii="Arial" w:hAnsi="Arial" w:cs="Arial"/>
          <w:sz w:val="24"/>
          <w:szCs w:val="28"/>
        </w:rPr>
        <w:t>Uluslararası Standartlar Örgütü (ISO), Ekonomik Kalkınma ve İşbi</w:t>
      </w:r>
      <w:r w:rsidR="007101AF">
        <w:rPr>
          <w:rFonts w:ascii="Arial" w:hAnsi="Arial" w:cs="Arial"/>
          <w:sz w:val="24"/>
          <w:szCs w:val="28"/>
        </w:rPr>
        <w:t xml:space="preserve">rliği Örgütü (OECD), Güney Asya </w:t>
      </w:r>
      <w:r w:rsidRPr="00637110">
        <w:rPr>
          <w:rFonts w:ascii="Arial" w:hAnsi="Arial" w:cs="Arial"/>
          <w:sz w:val="24"/>
          <w:szCs w:val="28"/>
        </w:rPr>
        <w:t>Bölgesel İşbirliği Örgütü (SAARC), Birleşmiş Milletler (UN), Birleşmi</w:t>
      </w:r>
      <w:r w:rsidR="007101AF">
        <w:rPr>
          <w:rFonts w:ascii="Arial" w:hAnsi="Arial" w:cs="Arial"/>
          <w:sz w:val="24"/>
          <w:szCs w:val="28"/>
        </w:rPr>
        <w:t xml:space="preserve">ş Milletler Ticaret ve Kalkınma </w:t>
      </w:r>
      <w:r w:rsidRPr="00637110">
        <w:rPr>
          <w:rFonts w:ascii="Arial" w:hAnsi="Arial" w:cs="Arial"/>
          <w:sz w:val="24"/>
          <w:szCs w:val="28"/>
        </w:rPr>
        <w:t>Kon</w:t>
      </w:r>
      <w:r w:rsidR="007101AF">
        <w:rPr>
          <w:rFonts w:ascii="Arial" w:hAnsi="Arial" w:cs="Arial"/>
          <w:sz w:val="24"/>
          <w:szCs w:val="28"/>
        </w:rPr>
        <w:t xml:space="preserve"> </w:t>
      </w:r>
      <w:proofErr w:type="spellStart"/>
      <w:r w:rsidRPr="00637110">
        <w:rPr>
          <w:rFonts w:ascii="Arial" w:hAnsi="Arial" w:cs="Arial"/>
          <w:sz w:val="24"/>
          <w:szCs w:val="28"/>
        </w:rPr>
        <w:t>feransı</w:t>
      </w:r>
      <w:proofErr w:type="spellEnd"/>
      <w:r w:rsidRPr="00637110">
        <w:rPr>
          <w:rFonts w:ascii="Arial" w:hAnsi="Arial" w:cs="Arial"/>
          <w:sz w:val="24"/>
          <w:szCs w:val="28"/>
        </w:rPr>
        <w:t xml:space="preserve"> (UNCTAD), Dünya Ticaret Örgütü (WTO</w:t>
      </w:r>
      <w:r w:rsidR="007101AF">
        <w:rPr>
          <w:rFonts w:ascii="Arial" w:hAnsi="Arial" w:cs="Arial"/>
          <w:sz w:val="24"/>
          <w:szCs w:val="28"/>
        </w:rPr>
        <w:t>)</w:t>
      </w:r>
    </w:p>
    <w:p w:rsidR="007101AF" w:rsidRPr="007101AF" w:rsidRDefault="007101AF" w:rsidP="007101AF">
      <w:pPr>
        <w:jc w:val="both"/>
        <w:rPr>
          <w:rFonts w:ascii="Arial" w:hAnsi="Arial" w:cs="Arial"/>
          <w:sz w:val="28"/>
          <w:szCs w:val="28"/>
        </w:rPr>
      </w:pPr>
    </w:p>
    <w:p w:rsidR="008477EA" w:rsidRDefault="008477EA" w:rsidP="007101AF">
      <w:pPr>
        <w:jc w:val="both"/>
        <w:rPr>
          <w:rFonts w:ascii="Arial" w:hAnsi="Arial" w:cs="Arial"/>
          <w:b/>
          <w:sz w:val="28"/>
          <w:szCs w:val="28"/>
        </w:rPr>
      </w:pPr>
    </w:p>
    <w:p w:rsidR="008477EA" w:rsidRDefault="008477EA" w:rsidP="007101AF">
      <w:pPr>
        <w:jc w:val="both"/>
        <w:rPr>
          <w:rFonts w:ascii="Arial" w:hAnsi="Arial" w:cs="Arial"/>
          <w:b/>
          <w:sz w:val="28"/>
          <w:szCs w:val="28"/>
        </w:rPr>
      </w:pPr>
    </w:p>
    <w:p w:rsidR="007101AF" w:rsidRPr="007101AF" w:rsidRDefault="007101AF" w:rsidP="007101AF">
      <w:pPr>
        <w:jc w:val="both"/>
        <w:rPr>
          <w:rFonts w:ascii="Arial" w:hAnsi="Arial" w:cs="Arial"/>
          <w:b/>
          <w:sz w:val="28"/>
          <w:szCs w:val="28"/>
        </w:rPr>
      </w:pPr>
      <w:r w:rsidRPr="007101AF">
        <w:rPr>
          <w:rFonts w:ascii="Arial" w:hAnsi="Arial" w:cs="Arial"/>
          <w:b/>
          <w:sz w:val="28"/>
          <w:szCs w:val="28"/>
        </w:rPr>
        <w:t>2. Coğrafi Konum:</w:t>
      </w:r>
    </w:p>
    <w:p w:rsidR="007101AF" w:rsidRDefault="007101AF" w:rsidP="007101AF">
      <w:pPr>
        <w:jc w:val="both"/>
        <w:rPr>
          <w:rFonts w:ascii="Arial" w:hAnsi="Arial" w:cs="Arial"/>
          <w:sz w:val="24"/>
        </w:rPr>
      </w:pPr>
      <w:r w:rsidRPr="007101AF">
        <w:rPr>
          <w:rFonts w:ascii="Arial" w:hAnsi="Arial" w:cs="Arial"/>
          <w:sz w:val="24"/>
        </w:rPr>
        <w:t xml:space="preserve">Hindistan güney Asya’da yer almakta olup; güneyinde Hint Okyanusu, batısında Pakistan, kuzeyinde Çin, Bhutan ve Nepal, doğusunda ise Bangladeş ve Myanmar ile komşudur. Yüzölçümü bakımından dünyanın yedinci büyük devletidir. Hindistan’ın güneyinde tropikal muson iklimi hâkim iken kuzeyinde iklim ılımandır. Hindistan’ın güney ve orta kesimleri platolardan oluşurken batısında çöller, kuzeyinde ise </w:t>
      </w:r>
      <w:proofErr w:type="spellStart"/>
      <w:r w:rsidRPr="007101AF">
        <w:rPr>
          <w:rFonts w:ascii="Arial" w:hAnsi="Arial" w:cs="Arial"/>
          <w:sz w:val="24"/>
        </w:rPr>
        <w:t>Himalaya</w:t>
      </w:r>
      <w:proofErr w:type="spellEnd"/>
      <w:r w:rsidRPr="007101AF">
        <w:rPr>
          <w:rFonts w:ascii="Arial" w:hAnsi="Arial" w:cs="Arial"/>
          <w:sz w:val="24"/>
        </w:rPr>
        <w:t xml:space="preserve"> Dağları yer alır.</w:t>
      </w:r>
    </w:p>
    <w:p w:rsidR="007101AF" w:rsidRDefault="007101AF" w:rsidP="007101AF">
      <w:pPr>
        <w:jc w:val="both"/>
        <w:rPr>
          <w:rFonts w:ascii="Arial" w:hAnsi="Arial" w:cs="Arial"/>
          <w:sz w:val="24"/>
        </w:rPr>
      </w:pPr>
    </w:p>
    <w:p w:rsidR="007101AF" w:rsidRDefault="007101AF" w:rsidP="007101AF">
      <w:pPr>
        <w:jc w:val="both"/>
        <w:rPr>
          <w:rFonts w:ascii="Arial" w:hAnsi="Arial" w:cs="Arial"/>
          <w:sz w:val="24"/>
        </w:rPr>
      </w:pPr>
    </w:p>
    <w:p w:rsidR="007101AF" w:rsidRDefault="007101AF" w:rsidP="007101AF">
      <w:pPr>
        <w:jc w:val="both"/>
        <w:rPr>
          <w:rFonts w:ascii="Arial" w:hAnsi="Arial" w:cs="Arial"/>
          <w:sz w:val="24"/>
        </w:rPr>
      </w:pPr>
    </w:p>
    <w:p w:rsidR="008477EA" w:rsidRDefault="008477EA" w:rsidP="007101AF">
      <w:pPr>
        <w:jc w:val="both"/>
        <w:rPr>
          <w:rFonts w:ascii="Arial" w:hAnsi="Arial" w:cs="Arial"/>
          <w:sz w:val="24"/>
        </w:rPr>
      </w:pPr>
    </w:p>
    <w:p w:rsidR="007101AF" w:rsidRPr="007101AF" w:rsidRDefault="007101AF" w:rsidP="007101AF">
      <w:pPr>
        <w:jc w:val="both"/>
        <w:rPr>
          <w:rFonts w:ascii="Arial" w:hAnsi="Arial" w:cs="Arial"/>
          <w:b/>
          <w:sz w:val="28"/>
          <w:szCs w:val="24"/>
        </w:rPr>
      </w:pPr>
      <w:r w:rsidRPr="007101AF">
        <w:rPr>
          <w:rFonts w:ascii="Arial" w:hAnsi="Arial" w:cs="Arial"/>
          <w:b/>
          <w:sz w:val="28"/>
          <w:szCs w:val="24"/>
        </w:rPr>
        <w:lastRenderedPageBreak/>
        <w:t>3. Siyasi ve İdari Yapı:</w:t>
      </w:r>
    </w:p>
    <w:p w:rsidR="007101AF" w:rsidRDefault="007101AF" w:rsidP="007101AF">
      <w:pPr>
        <w:jc w:val="both"/>
        <w:rPr>
          <w:rFonts w:ascii="Arial" w:hAnsi="Arial" w:cs="Arial"/>
          <w:sz w:val="24"/>
        </w:rPr>
      </w:pPr>
      <w:r w:rsidRPr="007101AF">
        <w:rPr>
          <w:rFonts w:ascii="Arial" w:hAnsi="Arial" w:cs="Arial"/>
          <w:sz w:val="24"/>
        </w:rPr>
        <w:t>15 Ağustos 1947 tarihinde İngiltere’den bağımsızlığını kazanan Hi</w:t>
      </w:r>
      <w:r>
        <w:rPr>
          <w:rFonts w:ascii="Arial" w:hAnsi="Arial" w:cs="Arial"/>
          <w:sz w:val="24"/>
        </w:rPr>
        <w:t xml:space="preserve">ndistan Cumhuriyeti’nin yönetim </w:t>
      </w:r>
      <w:r w:rsidRPr="007101AF">
        <w:rPr>
          <w:rFonts w:ascii="Arial" w:hAnsi="Arial" w:cs="Arial"/>
          <w:sz w:val="24"/>
        </w:rPr>
        <w:t>şekli federal cumhuriyettir. Hindistan 28 eyalet ve 8 birlik bölge</w:t>
      </w:r>
      <w:r>
        <w:rPr>
          <w:rFonts w:ascii="Arial" w:hAnsi="Arial" w:cs="Arial"/>
          <w:sz w:val="24"/>
        </w:rPr>
        <w:t xml:space="preserve">sinden oluşmaktadır. Eyaletler; </w:t>
      </w:r>
      <w:proofErr w:type="spellStart"/>
      <w:r w:rsidRPr="007101AF">
        <w:rPr>
          <w:rFonts w:ascii="Arial" w:hAnsi="Arial" w:cs="Arial"/>
          <w:sz w:val="24"/>
        </w:rPr>
        <w:t>Andhra</w:t>
      </w:r>
      <w:proofErr w:type="spellEnd"/>
      <w:r w:rsidRPr="007101AF">
        <w:rPr>
          <w:rFonts w:ascii="Arial" w:hAnsi="Arial" w:cs="Arial"/>
          <w:sz w:val="24"/>
        </w:rPr>
        <w:t xml:space="preserve"> </w:t>
      </w:r>
      <w:proofErr w:type="spellStart"/>
      <w:r w:rsidRPr="007101AF">
        <w:rPr>
          <w:rFonts w:ascii="Arial" w:hAnsi="Arial" w:cs="Arial"/>
          <w:sz w:val="24"/>
        </w:rPr>
        <w:t>Pradesh</w:t>
      </w:r>
      <w:proofErr w:type="spellEnd"/>
      <w:r w:rsidRPr="007101AF">
        <w:rPr>
          <w:rFonts w:ascii="Arial" w:hAnsi="Arial" w:cs="Arial"/>
          <w:sz w:val="24"/>
        </w:rPr>
        <w:t xml:space="preserve">, </w:t>
      </w:r>
      <w:proofErr w:type="spellStart"/>
      <w:r w:rsidRPr="007101AF">
        <w:rPr>
          <w:rFonts w:ascii="Arial" w:hAnsi="Arial" w:cs="Arial"/>
          <w:sz w:val="24"/>
        </w:rPr>
        <w:t>Arunachal</w:t>
      </w:r>
      <w:proofErr w:type="spellEnd"/>
      <w:r w:rsidRPr="007101AF">
        <w:rPr>
          <w:rFonts w:ascii="Arial" w:hAnsi="Arial" w:cs="Arial"/>
          <w:sz w:val="24"/>
        </w:rPr>
        <w:t xml:space="preserve"> </w:t>
      </w:r>
      <w:proofErr w:type="spellStart"/>
      <w:r w:rsidRPr="007101AF">
        <w:rPr>
          <w:rFonts w:ascii="Arial" w:hAnsi="Arial" w:cs="Arial"/>
          <w:sz w:val="24"/>
        </w:rPr>
        <w:t>Pradesh</w:t>
      </w:r>
      <w:proofErr w:type="spellEnd"/>
      <w:r w:rsidRPr="007101AF">
        <w:rPr>
          <w:rFonts w:ascii="Arial" w:hAnsi="Arial" w:cs="Arial"/>
          <w:sz w:val="24"/>
        </w:rPr>
        <w:t xml:space="preserve">, Assam, </w:t>
      </w:r>
      <w:proofErr w:type="spellStart"/>
      <w:r w:rsidRPr="007101AF">
        <w:rPr>
          <w:rFonts w:ascii="Arial" w:hAnsi="Arial" w:cs="Arial"/>
          <w:sz w:val="24"/>
        </w:rPr>
        <w:t>Bihar</w:t>
      </w:r>
      <w:proofErr w:type="spellEnd"/>
      <w:r w:rsidRPr="007101AF">
        <w:rPr>
          <w:rFonts w:ascii="Arial" w:hAnsi="Arial" w:cs="Arial"/>
          <w:sz w:val="24"/>
        </w:rPr>
        <w:t xml:space="preserve">, </w:t>
      </w:r>
      <w:proofErr w:type="spellStart"/>
      <w:r w:rsidRPr="007101AF">
        <w:rPr>
          <w:rFonts w:ascii="Arial" w:hAnsi="Arial" w:cs="Arial"/>
          <w:sz w:val="24"/>
        </w:rPr>
        <w:t>Chhattisgarh</w:t>
      </w:r>
      <w:proofErr w:type="spellEnd"/>
      <w:r w:rsidRPr="007101AF">
        <w:rPr>
          <w:rFonts w:ascii="Arial" w:hAnsi="Arial" w:cs="Arial"/>
          <w:sz w:val="24"/>
        </w:rPr>
        <w:t xml:space="preserve">, </w:t>
      </w:r>
      <w:proofErr w:type="spellStart"/>
      <w:r>
        <w:rPr>
          <w:rFonts w:ascii="Arial" w:hAnsi="Arial" w:cs="Arial"/>
          <w:sz w:val="24"/>
        </w:rPr>
        <w:t>Goa</w:t>
      </w:r>
      <w:proofErr w:type="spellEnd"/>
      <w:r>
        <w:rPr>
          <w:rFonts w:ascii="Arial" w:hAnsi="Arial" w:cs="Arial"/>
          <w:sz w:val="24"/>
        </w:rPr>
        <w:t xml:space="preserve">, </w:t>
      </w:r>
      <w:proofErr w:type="spellStart"/>
      <w:r>
        <w:rPr>
          <w:rFonts w:ascii="Arial" w:hAnsi="Arial" w:cs="Arial"/>
          <w:sz w:val="24"/>
        </w:rPr>
        <w:t>Gujarat</w:t>
      </w:r>
      <w:proofErr w:type="spellEnd"/>
      <w:r>
        <w:rPr>
          <w:rFonts w:ascii="Arial" w:hAnsi="Arial" w:cs="Arial"/>
          <w:sz w:val="24"/>
        </w:rPr>
        <w:t xml:space="preserve">, </w:t>
      </w:r>
      <w:proofErr w:type="spellStart"/>
      <w:r>
        <w:rPr>
          <w:rFonts w:ascii="Arial" w:hAnsi="Arial" w:cs="Arial"/>
          <w:sz w:val="24"/>
        </w:rPr>
        <w:t>Haryana</w:t>
      </w:r>
      <w:proofErr w:type="spellEnd"/>
      <w:r>
        <w:rPr>
          <w:rFonts w:ascii="Arial" w:hAnsi="Arial" w:cs="Arial"/>
          <w:sz w:val="24"/>
        </w:rPr>
        <w:t xml:space="preserve">, </w:t>
      </w:r>
      <w:proofErr w:type="spellStart"/>
      <w:r>
        <w:rPr>
          <w:rFonts w:ascii="Arial" w:hAnsi="Arial" w:cs="Arial"/>
          <w:sz w:val="24"/>
        </w:rPr>
        <w:t>Himachal</w:t>
      </w:r>
      <w:proofErr w:type="spellEnd"/>
      <w:r>
        <w:rPr>
          <w:rFonts w:ascii="Arial" w:hAnsi="Arial" w:cs="Arial"/>
          <w:sz w:val="24"/>
        </w:rPr>
        <w:t xml:space="preserve"> </w:t>
      </w:r>
      <w:proofErr w:type="spellStart"/>
      <w:r w:rsidRPr="007101AF">
        <w:rPr>
          <w:rFonts w:ascii="Arial" w:hAnsi="Arial" w:cs="Arial"/>
          <w:sz w:val="24"/>
        </w:rPr>
        <w:t>Pradesh</w:t>
      </w:r>
      <w:proofErr w:type="spellEnd"/>
      <w:r w:rsidRPr="007101AF">
        <w:rPr>
          <w:rFonts w:ascii="Arial" w:hAnsi="Arial" w:cs="Arial"/>
          <w:sz w:val="24"/>
        </w:rPr>
        <w:t xml:space="preserve">, </w:t>
      </w:r>
      <w:proofErr w:type="spellStart"/>
      <w:r w:rsidRPr="007101AF">
        <w:rPr>
          <w:rFonts w:ascii="Arial" w:hAnsi="Arial" w:cs="Arial"/>
          <w:sz w:val="24"/>
        </w:rPr>
        <w:t>Jharkhand</w:t>
      </w:r>
      <w:proofErr w:type="spellEnd"/>
      <w:r w:rsidRPr="007101AF">
        <w:rPr>
          <w:rFonts w:ascii="Arial" w:hAnsi="Arial" w:cs="Arial"/>
          <w:sz w:val="24"/>
        </w:rPr>
        <w:t xml:space="preserve">, </w:t>
      </w:r>
      <w:proofErr w:type="spellStart"/>
      <w:r w:rsidRPr="007101AF">
        <w:rPr>
          <w:rFonts w:ascii="Arial" w:hAnsi="Arial" w:cs="Arial"/>
          <w:sz w:val="24"/>
        </w:rPr>
        <w:t>Karnataka</w:t>
      </w:r>
      <w:proofErr w:type="spellEnd"/>
      <w:r w:rsidRPr="007101AF">
        <w:rPr>
          <w:rFonts w:ascii="Arial" w:hAnsi="Arial" w:cs="Arial"/>
          <w:sz w:val="24"/>
        </w:rPr>
        <w:t xml:space="preserve">, </w:t>
      </w:r>
      <w:proofErr w:type="spellStart"/>
      <w:r w:rsidRPr="007101AF">
        <w:rPr>
          <w:rFonts w:ascii="Arial" w:hAnsi="Arial" w:cs="Arial"/>
          <w:sz w:val="24"/>
        </w:rPr>
        <w:t>Kerala</w:t>
      </w:r>
      <w:proofErr w:type="spellEnd"/>
      <w:r w:rsidRPr="007101AF">
        <w:rPr>
          <w:rFonts w:ascii="Arial" w:hAnsi="Arial" w:cs="Arial"/>
          <w:sz w:val="24"/>
        </w:rPr>
        <w:t xml:space="preserve">, </w:t>
      </w:r>
      <w:proofErr w:type="spellStart"/>
      <w:r w:rsidRPr="007101AF">
        <w:rPr>
          <w:rFonts w:ascii="Arial" w:hAnsi="Arial" w:cs="Arial"/>
          <w:sz w:val="24"/>
        </w:rPr>
        <w:t>Madhya</w:t>
      </w:r>
      <w:proofErr w:type="spellEnd"/>
      <w:r w:rsidRPr="007101AF">
        <w:rPr>
          <w:rFonts w:ascii="Arial" w:hAnsi="Arial" w:cs="Arial"/>
          <w:sz w:val="24"/>
        </w:rPr>
        <w:t xml:space="preserve"> </w:t>
      </w:r>
      <w:proofErr w:type="spellStart"/>
      <w:r w:rsidRPr="007101AF">
        <w:rPr>
          <w:rFonts w:ascii="Arial" w:hAnsi="Arial" w:cs="Arial"/>
          <w:sz w:val="24"/>
        </w:rPr>
        <w:t>Pradesh</w:t>
      </w:r>
      <w:proofErr w:type="spellEnd"/>
      <w:r w:rsidRPr="007101AF">
        <w:rPr>
          <w:rFonts w:ascii="Arial" w:hAnsi="Arial" w:cs="Arial"/>
          <w:sz w:val="24"/>
        </w:rPr>
        <w:t xml:space="preserve">, </w:t>
      </w:r>
      <w:proofErr w:type="spellStart"/>
      <w:r w:rsidRPr="007101AF">
        <w:rPr>
          <w:rFonts w:ascii="Arial" w:hAnsi="Arial" w:cs="Arial"/>
          <w:sz w:val="24"/>
        </w:rPr>
        <w:t>M</w:t>
      </w:r>
      <w:r>
        <w:rPr>
          <w:rFonts w:ascii="Arial" w:hAnsi="Arial" w:cs="Arial"/>
          <w:sz w:val="24"/>
        </w:rPr>
        <w:t>aharashtra</w:t>
      </w:r>
      <w:proofErr w:type="spellEnd"/>
      <w:r>
        <w:rPr>
          <w:rFonts w:ascii="Arial" w:hAnsi="Arial" w:cs="Arial"/>
          <w:sz w:val="24"/>
        </w:rPr>
        <w:t xml:space="preserve">, </w:t>
      </w:r>
      <w:proofErr w:type="spellStart"/>
      <w:r>
        <w:rPr>
          <w:rFonts w:ascii="Arial" w:hAnsi="Arial" w:cs="Arial"/>
          <w:sz w:val="24"/>
        </w:rPr>
        <w:t>Manipur</w:t>
      </w:r>
      <w:proofErr w:type="spellEnd"/>
      <w:r>
        <w:rPr>
          <w:rFonts w:ascii="Arial" w:hAnsi="Arial" w:cs="Arial"/>
          <w:sz w:val="24"/>
        </w:rPr>
        <w:t xml:space="preserve">, </w:t>
      </w:r>
      <w:proofErr w:type="spellStart"/>
      <w:r>
        <w:rPr>
          <w:rFonts w:ascii="Arial" w:hAnsi="Arial" w:cs="Arial"/>
          <w:sz w:val="24"/>
        </w:rPr>
        <w:t>Meghalaya</w:t>
      </w:r>
      <w:proofErr w:type="spellEnd"/>
      <w:r>
        <w:rPr>
          <w:rFonts w:ascii="Arial" w:hAnsi="Arial" w:cs="Arial"/>
          <w:sz w:val="24"/>
        </w:rPr>
        <w:t xml:space="preserve">, </w:t>
      </w:r>
      <w:proofErr w:type="spellStart"/>
      <w:r w:rsidRPr="007101AF">
        <w:rPr>
          <w:rFonts w:ascii="Arial" w:hAnsi="Arial" w:cs="Arial"/>
          <w:sz w:val="24"/>
        </w:rPr>
        <w:t>Mizoram</w:t>
      </w:r>
      <w:proofErr w:type="spellEnd"/>
      <w:r w:rsidRPr="007101AF">
        <w:rPr>
          <w:rFonts w:ascii="Arial" w:hAnsi="Arial" w:cs="Arial"/>
          <w:sz w:val="24"/>
        </w:rPr>
        <w:t xml:space="preserve">, </w:t>
      </w:r>
      <w:proofErr w:type="spellStart"/>
      <w:r w:rsidRPr="007101AF">
        <w:rPr>
          <w:rFonts w:ascii="Arial" w:hAnsi="Arial" w:cs="Arial"/>
          <w:sz w:val="24"/>
        </w:rPr>
        <w:t>Nagaland</w:t>
      </w:r>
      <w:proofErr w:type="spellEnd"/>
      <w:r w:rsidRPr="007101AF">
        <w:rPr>
          <w:rFonts w:ascii="Arial" w:hAnsi="Arial" w:cs="Arial"/>
          <w:sz w:val="24"/>
        </w:rPr>
        <w:t xml:space="preserve">, </w:t>
      </w:r>
      <w:proofErr w:type="spellStart"/>
      <w:r w:rsidRPr="007101AF">
        <w:rPr>
          <w:rFonts w:ascii="Arial" w:hAnsi="Arial" w:cs="Arial"/>
          <w:sz w:val="24"/>
        </w:rPr>
        <w:t>Orissa</w:t>
      </w:r>
      <w:proofErr w:type="spellEnd"/>
      <w:r w:rsidRPr="007101AF">
        <w:rPr>
          <w:rFonts w:ascii="Arial" w:hAnsi="Arial" w:cs="Arial"/>
          <w:sz w:val="24"/>
        </w:rPr>
        <w:t xml:space="preserve">, </w:t>
      </w:r>
      <w:proofErr w:type="spellStart"/>
      <w:r w:rsidRPr="007101AF">
        <w:rPr>
          <w:rFonts w:ascii="Arial" w:hAnsi="Arial" w:cs="Arial"/>
          <w:sz w:val="24"/>
        </w:rPr>
        <w:t>Punjab</w:t>
      </w:r>
      <w:proofErr w:type="spellEnd"/>
      <w:r w:rsidRPr="007101AF">
        <w:rPr>
          <w:rFonts w:ascii="Arial" w:hAnsi="Arial" w:cs="Arial"/>
          <w:sz w:val="24"/>
        </w:rPr>
        <w:t xml:space="preserve">, </w:t>
      </w:r>
      <w:proofErr w:type="spellStart"/>
      <w:r w:rsidRPr="007101AF">
        <w:rPr>
          <w:rFonts w:ascii="Arial" w:hAnsi="Arial" w:cs="Arial"/>
          <w:sz w:val="24"/>
        </w:rPr>
        <w:t>Rajasthan</w:t>
      </w:r>
      <w:proofErr w:type="spellEnd"/>
      <w:r w:rsidRPr="007101AF">
        <w:rPr>
          <w:rFonts w:ascii="Arial" w:hAnsi="Arial" w:cs="Arial"/>
          <w:sz w:val="24"/>
        </w:rPr>
        <w:t xml:space="preserve">, </w:t>
      </w:r>
      <w:proofErr w:type="spellStart"/>
      <w:r w:rsidRPr="007101AF">
        <w:rPr>
          <w:rFonts w:ascii="Arial" w:hAnsi="Arial" w:cs="Arial"/>
          <w:sz w:val="24"/>
        </w:rPr>
        <w:t>Sikkim</w:t>
      </w:r>
      <w:proofErr w:type="spellEnd"/>
      <w:r w:rsidRPr="007101AF">
        <w:rPr>
          <w:rFonts w:ascii="Arial" w:hAnsi="Arial" w:cs="Arial"/>
          <w:sz w:val="24"/>
        </w:rPr>
        <w:t xml:space="preserve">, Tamil </w:t>
      </w:r>
      <w:proofErr w:type="spellStart"/>
      <w:r>
        <w:rPr>
          <w:rFonts w:ascii="Arial" w:hAnsi="Arial" w:cs="Arial"/>
          <w:sz w:val="24"/>
        </w:rPr>
        <w:t>Nadu</w:t>
      </w:r>
      <w:proofErr w:type="spellEnd"/>
      <w:r>
        <w:rPr>
          <w:rFonts w:ascii="Arial" w:hAnsi="Arial" w:cs="Arial"/>
          <w:sz w:val="24"/>
        </w:rPr>
        <w:t xml:space="preserve">, </w:t>
      </w:r>
      <w:proofErr w:type="spellStart"/>
      <w:r>
        <w:rPr>
          <w:rFonts w:ascii="Arial" w:hAnsi="Arial" w:cs="Arial"/>
          <w:sz w:val="24"/>
        </w:rPr>
        <w:t>Telangana</w:t>
      </w:r>
      <w:proofErr w:type="spellEnd"/>
      <w:r>
        <w:rPr>
          <w:rFonts w:ascii="Arial" w:hAnsi="Arial" w:cs="Arial"/>
          <w:sz w:val="24"/>
        </w:rPr>
        <w:t xml:space="preserve">, </w:t>
      </w:r>
      <w:proofErr w:type="spellStart"/>
      <w:r>
        <w:rPr>
          <w:rFonts w:ascii="Arial" w:hAnsi="Arial" w:cs="Arial"/>
          <w:sz w:val="24"/>
        </w:rPr>
        <w:t>Tripura</w:t>
      </w:r>
      <w:proofErr w:type="spellEnd"/>
      <w:r>
        <w:rPr>
          <w:rFonts w:ascii="Arial" w:hAnsi="Arial" w:cs="Arial"/>
          <w:sz w:val="24"/>
        </w:rPr>
        <w:t xml:space="preserve">, </w:t>
      </w:r>
      <w:proofErr w:type="spellStart"/>
      <w:r>
        <w:rPr>
          <w:rFonts w:ascii="Arial" w:hAnsi="Arial" w:cs="Arial"/>
          <w:sz w:val="24"/>
        </w:rPr>
        <w:t>Uttar</w:t>
      </w:r>
      <w:proofErr w:type="spellEnd"/>
      <w:r>
        <w:rPr>
          <w:rFonts w:ascii="Arial" w:hAnsi="Arial" w:cs="Arial"/>
          <w:sz w:val="24"/>
        </w:rPr>
        <w:t xml:space="preserve"> </w:t>
      </w:r>
      <w:proofErr w:type="spellStart"/>
      <w:r w:rsidRPr="007101AF">
        <w:rPr>
          <w:rFonts w:ascii="Arial" w:hAnsi="Arial" w:cs="Arial"/>
          <w:sz w:val="24"/>
        </w:rPr>
        <w:t>Pradesh</w:t>
      </w:r>
      <w:proofErr w:type="spellEnd"/>
      <w:r w:rsidRPr="007101AF">
        <w:rPr>
          <w:rFonts w:ascii="Arial" w:hAnsi="Arial" w:cs="Arial"/>
          <w:sz w:val="24"/>
        </w:rPr>
        <w:t xml:space="preserve">, </w:t>
      </w:r>
      <w:proofErr w:type="spellStart"/>
      <w:r w:rsidRPr="007101AF">
        <w:rPr>
          <w:rFonts w:ascii="Arial" w:hAnsi="Arial" w:cs="Arial"/>
          <w:sz w:val="24"/>
        </w:rPr>
        <w:t>Uttarakhand</w:t>
      </w:r>
      <w:proofErr w:type="spellEnd"/>
      <w:r w:rsidRPr="007101AF">
        <w:rPr>
          <w:rFonts w:ascii="Arial" w:hAnsi="Arial" w:cs="Arial"/>
          <w:sz w:val="24"/>
        </w:rPr>
        <w:t xml:space="preserve">, West </w:t>
      </w:r>
      <w:proofErr w:type="spellStart"/>
      <w:r w:rsidRPr="007101AF">
        <w:rPr>
          <w:rFonts w:ascii="Arial" w:hAnsi="Arial" w:cs="Arial"/>
          <w:sz w:val="24"/>
        </w:rPr>
        <w:t>Bengal’dir</w:t>
      </w:r>
      <w:proofErr w:type="spellEnd"/>
      <w:r w:rsidRPr="007101AF">
        <w:rPr>
          <w:rFonts w:ascii="Arial" w:hAnsi="Arial" w:cs="Arial"/>
          <w:sz w:val="24"/>
        </w:rPr>
        <w:t xml:space="preserve">. Birlik bölgeleri ise </w:t>
      </w:r>
      <w:proofErr w:type="spellStart"/>
      <w:r w:rsidRPr="007101AF">
        <w:rPr>
          <w:rFonts w:ascii="Arial" w:hAnsi="Arial" w:cs="Arial"/>
          <w:sz w:val="24"/>
        </w:rPr>
        <w:t>Andaman</w:t>
      </w:r>
      <w:proofErr w:type="spellEnd"/>
      <w:r w:rsidRPr="007101AF">
        <w:rPr>
          <w:rFonts w:ascii="Arial" w:hAnsi="Arial" w:cs="Arial"/>
          <w:sz w:val="24"/>
        </w:rPr>
        <w:t xml:space="preserve"> </w:t>
      </w:r>
      <w:r>
        <w:rPr>
          <w:rFonts w:ascii="Arial" w:hAnsi="Arial" w:cs="Arial"/>
          <w:sz w:val="24"/>
        </w:rPr>
        <w:t xml:space="preserve">ve </w:t>
      </w:r>
      <w:proofErr w:type="spellStart"/>
      <w:r>
        <w:rPr>
          <w:rFonts w:ascii="Arial" w:hAnsi="Arial" w:cs="Arial"/>
          <w:sz w:val="24"/>
        </w:rPr>
        <w:t>Nicobar</w:t>
      </w:r>
      <w:proofErr w:type="spellEnd"/>
      <w:r>
        <w:rPr>
          <w:rFonts w:ascii="Arial" w:hAnsi="Arial" w:cs="Arial"/>
          <w:sz w:val="24"/>
        </w:rPr>
        <w:t xml:space="preserve"> Adaları, </w:t>
      </w:r>
      <w:proofErr w:type="spellStart"/>
      <w:r>
        <w:rPr>
          <w:rFonts w:ascii="Arial" w:hAnsi="Arial" w:cs="Arial"/>
          <w:sz w:val="24"/>
        </w:rPr>
        <w:t>Chandigarh</w:t>
      </w:r>
      <w:proofErr w:type="spellEnd"/>
      <w:r>
        <w:rPr>
          <w:rFonts w:ascii="Arial" w:hAnsi="Arial" w:cs="Arial"/>
          <w:sz w:val="24"/>
        </w:rPr>
        <w:t xml:space="preserve">, </w:t>
      </w:r>
      <w:proofErr w:type="spellStart"/>
      <w:r w:rsidRPr="007101AF">
        <w:rPr>
          <w:rFonts w:ascii="Arial" w:hAnsi="Arial" w:cs="Arial"/>
          <w:sz w:val="24"/>
        </w:rPr>
        <w:t>Dadra</w:t>
      </w:r>
      <w:proofErr w:type="spellEnd"/>
      <w:r w:rsidRPr="007101AF">
        <w:rPr>
          <w:rFonts w:ascii="Arial" w:hAnsi="Arial" w:cs="Arial"/>
          <w:sz w:val="24"/>
        </w:rPr>
        <w:t xml:space="preserve"> </w:t>
      </w:r>
      <w:proofErr w:type="spellStart"/>
      <w:r w:rsidRPr="007101AF">
        <w:rPr>
          <w:rFonts w:ascii="Arial" w:hAnsi="Arial" w:cs="Arial"/>
          <w:sz w:val="24"/>
        </w:rPr>
        <w:t>and</w:t>
      </w:r>
      <w:proofErr w:type="spellEnd"/>
      <w:r w:rsidRPr="007101AF">
        <w:rPr>
          <w:rFonts w:ascii="Arial" w:hAnsi="Arial" w:cs="Arial"/>
          <w:sz w:val="24"/>
        </w:rPr>
        <w:t xml:space="preserve"> </w:t>
      </w:r>
      <w:proofErr w:type="spellStart"/>
      <w:r w:rsidRPr="007101AF">
        <w:rPr>
          <w:rFonts w:ascii="Arial" w:hAnsi="Arial" w:cs="Arial"/>
          <w:sz w:val="24"/>
        </w:rPr>
        <w:t>Nagar</w:t>
      </w:r>
      <w:proofErr w:type="spellEnd"/>
      <w:r w:rsidRPr="007101AF">
        <w:rPr>
          <w:rFonts w:ascii="Arial" w:hAnsi="Arial" w:cs="Arial"/>
          <w:sz w:val="24"/>
        </w:rPr>
        <w:t xml:space="preserve"> </w:t>
      </w:r>
      <w:proofErr w:type="spellStart"/>
      <w:r w:rsidRPr="007101AF">
        <w:rPr>
          <w:rFonts w:ascii="Arial" w:hAnsi="Arial" w:cs="Arial"/>
          <w:sz w:val="24"/>
        </w:rPr>
        <w:t>Haveli</w:t>
      </w:r>
      <w:proofErr w:type="spellEnd"/>
      <w:r w:rsidRPr="007101AF">
        <w:rPr>
          <w:rFonts w:ascii="Arial" w:hAnsi="Arial" w:cs="Arial"/>
          <w:sz w:val="24"/>
        </w:rPr>
        <w:t xml:space="preserve"> </w:t>
      </w:r>
      <w:proofErr w:type="spellStart"/>
      <w:r w:rsidRPr="007101AF">
        <w:rPr>
          <w:rFonts w:ascii="Arial" w:hAnsi="Arial" w:cs="Arial"/>
          <w:sz w:val="24"/>
        </w:rPr>
        <w:t>and</w:t>
      </w:r>
      <w:proofErr w:type="spellEnd"/>
      <w:r w:rsidRPr="007101AF">
        <w:rPr>
          <w:rFonts w:ascii="Arial" w:hAnsi="Arial" w:cs="Arial"/>
          <w:sz w:val="24"/>
        </w:rPr>
        <w:t xml:space="preserve"> Daman </w:t>
      </w:r>
      <w:proofErr w:type="spellStart"/>
      <w:r w:rsidRPr="007101AF">
        <w:rPr>
          <w:rFonts w:ascii="Arial" w:hAnsi="Arial" w:cs="Arial"/>
          <w:sz w:val="24"/>
        </w:rPr>
        <w:t>and</w:t>
      </w:r>
      <w:proofErr w:type="spellEnd"/>
      <w:r w:rsidRPr="007101AF">
        <w:rPr>
          <w:rFonts w:ascii="Arial" w:hAnsi="Arial" w:cs="Arial"/>
          <w:sz w:val="24"/>
        </w:rPr>
        <w:t xml:space="preserve"> </w:t>
      </w:r>
      <w:proofErr w:type="spellStart"/>
      <w:r w:rsidRPr="007101AF">
        <w:rPr>
          <w:rFonts w:ascii="Arial" w:hAnsi="Arial" w:cs="Arial"/>
          <w:sz w:val="24"/>
        </w:rPr>
        <w:t>Diu</w:t>
      </w:r>
      <w:proofErr w:type="spellEnd"/>
      <w:r w:rsidRPr="007101AF">
        <w:rPr>
          <w:rFonts w:ascii="Arial" w:hAnsi="Arial" w:cs="Arial"/>
          <w:sz w:val="24"/>
        </w:rPr>
        <w:t xml:space="preserve">, </w:t>
      </w:r>
      <w:proofErr w:type="spellStart"/>
      <w:r w:rsidRPr="007101AF">
        <w:rPr>
          <w:rFonts w:ascii="Arial" w:hAnsi="Arial" w:cs="Arial"/>
          <w:sz w:val="24"/>
        </w:rPr>
        <w:t>Jamnu</w:t>
      </w:r>
      <w:proofErr w:type="spellEnd"/>
      <w:r w:rsidRPr="007101AF">
        <w:rPr>
          <w:rFonts w:ascii="Arial" w:hAnsi="Arial" w:cs="Arial"/>
          <w:sz w:val="24"/>
        </w:rPr>
        <w:t xml:space="preserve"> </w:t>
      </w:r>
      <w:proofErr w:type="spellStart"/>
      <w:r w:rsidRPr="007101AF">
        <w:rPr>
          <w:rFonts w:ascii="Arial" w:hAnsi="Arial" w:cs="Arial"/>
          <w:sz w:val="24"/>
        </w:rPr>
        <w:t>and</w:t>
      </w:r>
      <w:proofErr w:type="spellEnd"/>
      <w:r w:rsidRPr="007101AF">
        <w:rPr>
          <w:rFonts w:ascii="Arial" w:hAnsi="Arial" w:cs="Arial"/>
          <w:sz w:val="24"/>
        </w:rPr>
        <w:t xml:space="preserve"> </w:t>
      </w:r>
      <w:proofErr w:type="spellStart"/>
      <w:r w:rsidRPr="007101AF">
        <w:rPr>
          <w:rFonts w:ascii="Arial" w:hAnsi="Arial" w:cs="Arial"/>
          <w:sz w:val="24"/>
        </w:rPr>
        <w:t>Kashmir</w:t>
      </w:r>
      <w:proofErr w:type="spellEnd"/>
      <w:r>
        <w:rPr>
          <w:rFonts w:ascii="Arial" w:hAnsi="Arial" w:cs="Arial"/>
          <w:sz w:val="24"/>
        </w:rPr>
        <w:t xml:space="preserve">, </w:t>
      </w:r>
      <w:proofErr w:type="spellStart"/>
      <w:r>
        <w:rPr>
          <w:rFonts w:ascii="Arial" w:hAnsi="Arial" w:cs="Arial"/>
          <w:sz w:val="24"/>
        </w:rPr>
        <w:t>Ladakh</w:t>
      </w:r>
      <w:proofErr w:type="spellEnd"/>
      <w:r>
        <w:rPr>
          <w:rFonts w:ascii="Arial" w:hAnsi="Arial" w:cs="Arial"/>
          <w:sz w:val="24"/>
        </w:rPr>
        <w:t xml:space="preserve">, </w:t>
      </w:r>
      <w:proofErr w:type="spellStart"/>
      <w:r>
        <w:rPr>
          <w:rFonts w:ascii="Arial" w:hAnsi="Arial" w:cs="Arial"/>
          <w:sz w:val="24"/>
        </w:rPr>
        <w:t>Lakshadweep</w:t>
      </w:r>
      <w:proofErr w:type="spellEnd"/>
      <w:r>
        <w:rPr>
          <w:rFonts w:ascii="Arial" w:hAnsi="Arial" w:cs="Arial"/>
          <w:sz w:val="24"/>
        </w:rPr>
        <w:t xml:space="preserve">, </w:t>
      </w:r>
      <w:proofErr w:type="spellStart"/>
      <w:r>
        <w:rPr>
          <w:rFonts w:ascii="Arial" w:hAnsi="Arial" w:cs="Arial"/>
          <w:sz w:val="24"/>
        </w:rPr>
        <w:t>National</w:t>
      </w:r>
      <w:proofErr w:type="spellEnd"/>
      <w:r>
        <w:rPr>
          <w:rFonts w:ascii="Arial" w:hAnsi="Arial" w:cs="Arial"/>
          <w:sz w:val="24"/>
        </w:rPr>
        <w:t xml:space="preserve"> </w:t>
      </w:r>
      <w:proofErr w:type="spellStart"/>
      <w:r w:rsidRPr="007101AF">
        <w:rPr>
          <w:rFonts w:ascii="Arial" w:hAnsi="Arial" w:cs="Arial"/>
          <w:sz w:val="24"/>
        </w:rPr>
        <w:t>Capital</w:t>
      </w:r>
      <w:proofErr w:type="spellEnd"/>
      <w:r w:rsidRPr="007101AF">
        <w:rPr>
          <w:rFonts w:ascii="Arial" w:hAnsi="Arial" w:cs="Arial"/>
          <w:sz w:val="24"/>
        </w:rPr>
        <w:t xml:space="preserve"> </w:t>
      </w:r>
      <w:proofErr w:type="spellStart"/>
      <w:r w:rsidRPr="007101AF">
        <w:rPr>
          <w:rFonts w:ascii="Arial" w:hAnsi="Arial" w:cs="Arial"/>
          <w:sz w:val="24"/>
        </w:rPr>
        <w:t>Territory</w:t>
      </w:r>
      <w:proofErr w:type="spellEnd"/>
      <w:r w:rsidRPr="007101AF">
        <w:rPr>
          <w:rFonts w:ascii="Arial" w:hAnsi="Arial" w:cs="Arial"/>
          <w:sz w:val="24"/>
        </w:rPr>
        <w:t xml:space="preserve"> of Delhi ve </w:t>
      </w:r>
      <w:proofErr w:type="spellStart"/>
      <w:r w:rsidRPr="007101AF">
        <w:rPr>
          <w:rFonts w:ascii="Arial" w:hAnsi="Arial" w:cs="Arial"/>
          <w:sz w:val="24"/>
        </w:rPr>
        <w:t>Puducherry’dir</w:t>
      </w:r>
      <w:proofErr w:type="spellEnd"/>
      <w:r w:rsidRPr="007101AF">
        <w:rPr>
          <w:rFonts w:ascii="Arial" w:hAnsi="Arial" w:cs="Arial"/>
          <w:sz w:val="24"/>
        </w:rPr>
        <w:t>. Hindistan’da yasal alty</w:t>
      </w:r>
      <w:r>
        <w:rPr>
          <w:rFonts w:ascii="Arial" w:hAnsi="Arial" w:cs="Arial"/>
          <w:sz w:val="24"/>
        </w:rPr>
        <w:t xml:space="preserve">apı 1950 anayasasına ve İngiliz </w:t>
      </w:r>
      <w:r w:rsidRPr="007101AF">
        <w:rPr>
          <w:rFonts w:ascii="Arial" w:hAnsi="Arial" w:cs="Arial"/>
          <w:sz w:val="24"/>
        </w:rPr>
        <w:t>hukukuna dayanır.</w:t>
      </w:r>
      <w:r w:rsidRPr="007101AF">
        <w:rPr>
          <w:rFonts w:ascii="Arial" w:hAnsi="Arial" w:cs="Arial"/>
          <w:sz w:val="24"/>
        </w:rPr>
        <w:cr/>
      </w:r>
    </w:p>
    <w:p w:rsidR="007101AF" w:rsidRDefault="007101AF" w:rsidP="007101AF">
      <w:pPr>
        <w:jc w:val="both"/>
        <w:rPr>
          <w:rFonts w:ascii="Arial" w:hAnsi="Arial" w:cs="Arial"/>
          <w:sz w:val="24"/>
        </w:rPr>
      </w:pPr>
    </w:p>
    <w:p w:rsidR="008477EA" w:rsidRPr="008477EA" w:rsidRDefault="008477EA" w:rsidP="007101AF">
      <w:pPr>
        <w:jc w:val="both"/>
        <w:rPr>
          <w:rFonts w:ascii="Arial" w:hAnsi="Arial" w:cs="Arial"/>
          <w:b/>
          <w:sz w:val="28"/>
        </w:rPr>
      </w:pPr>
      <w:r w:rsidRPr="008477EA">
        <w:rPr>
          <w:rFonts w:ascii="Arial" w:hAnsi="Arial" w:cs="Arial"/>
          <w:b/>
          <w:sz w:val="28"/>
        </w:rPr>
        <w:t>4. Nüfus ve İstihdam:</w:t>
      </w:r>
    </w:p>
    <w:p w:rsidR="008477EA" w:rsidRDefault="008477EA" w:rsidP="008477EA">
      <w:pPr>
        <w:jc w:val="both"/>
        <w:rPr>
          <w:rFonts w:ascii="Arial" w:hAnsi="Arial" w:cs="Arial"/>
          <w:sz w:val="24"/>
        </w:rPr>
      </w:pPr>
      <w:r w:rsidRPr="008477EA">
        <w:rPr>
          <w:rFonts w:ascii="Arial" w:hAnsi="Arial" w:cs="Arial"/>
          <w:sz w:val="24"/>
        </w:rPr>
        <w:t>2023 yılında nüfusu 1,44 milyar kişiye ulaştığı tahmin edilen Hindista</w:t>
      </w:r>
      <w:r>
        <w:rPr>
          <w:rFonts w:ascii="Arial" w:hAnsi="Arial" w:cs="Arial"/>
          <w:sz w:val="24"/>
        </w:rPr>
        <w:t xml:space="preserve">n’da 2000-07 yılları arasındaki </w:t>
      </w:r>
      <w:r w:rsidRPr="008477EA">
        <w:rPr>
          <w:rFonts w:ascii="Arial" w:hAnsi="Arial" w:cs="Arial"/>
          <w:sz w:val="24"/>
        </w:rPr>
        <w:t>nüfus artış hızı yıllık %1,5 oranında gerçekleşmiştir. Bu oran 2009 v</w:t>
      </w:r>
      <w:r>
        <w:rPr>
          <w:rFonts w:ascii="Arial" w:hAnsi="Arial" w:cs="Arial"/>
          <w:sz w:val="24"/>
        </w:rPr>
        <w:t xml:space="preserve">e 2010 yılında da yaklaşık aynı </w:t>
      </w:r>
      <w:r w:rsidRPr="008477EA">
        <w:rPr>
          <w:rFonts w:ascii="Arial" w:hAnsi="Arial" w:cs="Arial"/>
          <w:sz w:val="24"/>
        </w:rPr>
        <w:t>kalmıştır. 2020 yılında nüfus artış oranı %1,1’dir. Bu oran 90’lı yıllar</w:t>
      </w:r>
      <w:r>
        <w:rPr>
          <w:rFonts w:ascii="Arial" w:hAnsi="Arial" w:cs="Arial"/>
          <w:sz w:val="24"/>
        </w:rPr>
        <w:t xml:space="preserve">da %1,9, 80’li yıllarda %2,1 ve </w:t>
      </w:r>
      <w:r w:rsidRPr="008477EA">
        <w:rPr>
          <w:rFonts w:ascii="Arial" w:hAnsi="Arial" w:cs="Arial"/>
          <w:sz w:val="24"/>
        </w:rPr>
        <w:t>60’lı yıllarda %2,3 oranlarında gerçekleşmiştir. Doğum hızının düşeceğine dair iyimser beklentilere</w:t>
      </w:r>
      <w:r>
        <w:rPr>
          <w:rFonts w:ascii="Arial" w:hAnsi="Arial" w:cs="Arial"/>
          <w:sz w:val="24"/>
        </w:rPr>
        <w:t xml:space="preserve"> </w:t>
      </w:r>
      <w:r w:rsidRPr="008477EA">
        <w:rPr>
          <w:rFonts w:ascii="Arial" w:hAnsi="Arial" w:cs="Arial"/>
          <w:sz w:val="24"/>
        </w:rPr>
        <w:t>rağmen 2023 yılında Hindistan nüfusunun 1,44 milyara ulaşmıştır</w:t>
      </w:r>
      <w:r>
        <w:rPr>
          <w:rFonts w:ascii="Arial" w:hAnsi="Arial" w:cs="Arial"/>
          <w:sz w:val="24"/>
        </w:rPr>
        <w:t xml:space="preserve">. 2020 yılında yaşam beklentisi </w:t>
      </w:r>
      <w:r w:rsidRPr="008477EA">
        <w:rPr>
          <w:rFonts w:ascii="Arial" w:hAnsi="Arial" w:cs="Arial"/>
          <w:sz w:val="24"/>
        </w:rPr>
        <w:t xml:space="preserve">erkekler için 68,4, kadınlar için 71,2 yıla çıkmıştır. 1951 yılında </w:t>
      </w:r>
      <w:r>
        <w:rPr>
          <w:rFonts w:ascii="Arial" w:hAnsi="Arial" w:cs="Arial"/>
          <w:sz w:val="24"/>
        </w:rPr>
        <w:t xml:space="preserve">erkekler ve kadınlar için yaşam </w:t>
      </w:r>
      <w:r w:rsidRPr="008477EA">
        <w:rPr>
          <w:rFonts w:ascii="Arial" w:hAnsi="Arial" w:cs="Arial"/>
          <w:sz w:val="24"/>
        </w:rPr>
        <w:t>beklentisi 32 yıl idi. Kırsal kesimde yaşama oranı diğer gelişen Asya</w:t>
      </w:r>
      <w:r>
        <w:rPr>
          <w:rFonts w:ascii="Arial" w:hAnsi="Arial" w:cs="Arial"/>
          <w:sz w:val="24"/>
        </w:rPr>
        <w:t xml:space="preserve"> ülkelerine göre çok yüksektir.</w:t>
      </w:r>
    </w:p>
    <w:p w:rsidR="008477EA" w:rsidRPr="008477EA" w:rsidRDefault="008477EA" w:rsidP="008477EA">
      <w:pPr>
        <w:jc w:val="both"/>
        <w:rPr>
          <w:rFonts w:ascii="Arial" w:hAnsi="Arial" w:cs="Arial"/>
          <w:sz w:val="24"/>
        </w:rPr>
      </w:pPr>
      <w:r w:rsidRPr="008477EA">
        <w:rPr>
          <w:rFonts w:ascii="Arial" w:hAnsi="Arial" w:cs="Arial"/>
          <w:sz w:val="24"/>
        </w:rPr>
        <w:t>Halkın %66,9’u kırsal yerleşim yerlerinde yaşamaktadır. Buna karşın şehirlere göç hızla artmaktadır.</w:t>
      </w:r>
    </w:p>
    <w:p w:rsidR="008477EA" w:rsidRPr="008477EA" w:rsidRDefault="008477EA" w:rsidP="008477EA">
      <w:pPr>
        <w:jc w:val="both"/>
        <w:rPr>
          <w:rFonts w:ascii="Arial" w:hAnsi="Arial" w:cs="Arial"/>
          <w:sz w:val="24"/>
        </w:rPr>
      </w:pPr>
      <w:r w:rsidRPr="008477EA">
        <w:rPr>
          <w:rFonts w:ascii="Arial" w:hAnsi="Arial" w:cs="Arial"/>
          <w:sz w:val="24"/>
        </w:rPr>
        <w:t>Hindistan’da her yıl yaklaşık 10 milyon kişi işgücüne katılmaktad</w:t>
      </w:r>
      <w:r>
        <w:rPr>
          <w:rFonts w:ascii="Arial" w:hAnsi="Arial" w:cs="Arial"/>
          <w:sz w:val="24"/>
        </w:rPr>
        <w:t xml:space="preserve">ır. Bu durum hükümetin eğitimin </w:t>
      </w:r>
      <w:r w:rsidRPr="008477EA">
        <w:rPr>
          <w:rFonts w:ascii="Arial" w:hAnsi="Arial" w:cs="Arial"/>
          <w:sz w:val="24"/>
        </w:rPr>
        <w:t>kalite ve miktarını artırmak için yatırım yapması gerekliliğini göstermektedir.</w:t>
      </w:r>
    </w:p>
    <w:p w:rsidR="007101AF" w:rsidRPr="008477EA" w:rsidRDefault="007101AF" w:rsidP="007101AF">
      <w:pPr>
        <w:jc w:val="both"/>
        <w:rPr>
          <w:rFonts w:ascii="Arial" w:hAnsi="Arial" w:cs="Arial"/>
          <w:b/>
          <w:sz w:val="28"/>
          <w:szCs w:val="28"/>
        </w:rPr>
      </w:pPr>
    </w:p>
    <w:p w:rsidR="008477EA" w:rsidRPr="008477EA" w:rsidRDefault="008477EA" w:rsidP="007101AF">
      <w:pPr>
        <w:jc w:val="both"/>
        <w:rPr>
          <w:rFonts w:ascii="Arial" w:hAnsi="Arial" w:cs="Arial"/>
          <w:b/>
          <w:sz w:val="28"/>
          <w:szCs w:val="28"/>
        </w:rPr>
      </w:pPr>
      <w:r w:rsidRPr="008477EA">
        <w:rPr>
          <w:rFonts w:ascii="Arial" w:hAnsi="Arial" w:cs="Arial"/>
          <w:b/>
          <w:sz w:val="28"/>
          <w:szCs w:val="28"/>
        </w:rPr>
        <w:t>5. D</w:t>
      </w:r>
      <w:r>
        <w:rPr>
          <w:rFonts w:ascii="Arial" w:hAnsi="Arial" w:cs="Arial"/>
          <w:b/>
          <w:sz w:val="28"/>
          <w:szCs w:val="28"/>
        </w:rPr>
        <w:t>oğal Kaynaklar:</w:t>
      </w:r>
      <w:bookmarkStart w:id="0" w:name="_GoBack"/>
      <w:bookmarkEnd w:id="0"/>
    </w:p>
    <w:p w:rsidR="008477EA" w:rsidRPr="008477EA" w:rsidRDefault="008477EA" w:rsidP="008477EA">
      <w:pPr>
        <w:jc w:val="both"/>
        <w:rPr>
          <w:rFonts w:ascii="Arial" w:hAnsi="Arial" w:cs="Arial"/>
          <w:sz w:val="24"/>
          <w:szCs w:val="28"/>
        </w:rPr>
      </w:pPr>
      <w:r w:rsidRPr="008477EA">
        <w:rPr>
          <w:rFonts w:ascii="Arial" w:hAnsi="Arial" w:cs="Arial"/>
          <w:sz w:val="24"/>
          <w:szCs w:val="28"/>
        </w:rPr>
        <w:t>Hindistan doğal kaynaklar bakımından çok zengin bir ülke deği</w:t>
      </w:r>
      <w:r>
        <w:rPr>
          <w:rFonts w:ascii="Arial" w:hAnsi="Arial" w:cs="Arial"/>
          <w:sz w:val="24"/>
          <w:szCs w:val="28"/>
        </w:rPr>
        <w:t>ldir. Hindistan dünya yüzeyinin</w:t>
      </w:r>
      <w:r w:rsidRPr="008477EA">
        <w:rPr>
          <w:rFonts w:ascii="Arial" w:hAnsi="Arial" w:cs="Arial"/>
          <w:sz w:val="24"/>
          <w:szCs w:val="28"/>
        </w:rPr>
        <w:t>%2,4’ünü kaplamasına rağmen, dünya nüfusunun %17’sini barınd</w:t>
      </w:r>
      <w:r>
        <w:rPr>
          <w:rFonts w:ascii="Arial" w:hAnsi="Arial" w:cs="Arial"/>
          <w:sz w:val="24"/>
          <w:szCs w:val="28"/>
        </w:rPr>
        <w:t xml:space="preserve">ırmaktadır. Bu yüzden doğal </w:t>
      </w:r>
      <w:r w:rsidRPr="008477EA">
        <w:rPr>
          <w:rFonts w:ascii="Arial" w:hAnsi="Arial" w:cs="Arial"/>
          <w:sz w:val="24"/>
          <w:szCs w:val="28"/>
        </w:rPr>
        <w:t>kaynak ihtiyacı fazladır. Hindistan’daki en önemli madenler kömür, demi</w:t>
      </w:r>
      <w:r>
        <w:rPr>
          <w:rFonts w:ascii="Arial" w:hAnsi="Arial" w:cs="Arial"/>
          <w:sz w:val="24"/>
          <w:szCs w:val="28"/>
        </w:rPr>
        <w:t xml:space="preserve">r ve boksittir. Petrol ve gazın </w:t>
      </w:r>
      <w:r w:rsidRPr="008477EA">
        <w:rPr>
          <w:rFonts w:ascii="Arial" w:hAnsi="Arial" w:cs="Arial"/>
          <w:sz w:val="24"/>
          <w:szCs w:val="28"/>
        </w:rPr>
        <w:t>büyük çoğunluğu ithal edilmektedir. Büyük coğrafi ve iklimsel farkl</w:t>
      </w:r>
      <w:r>
        <w:rPr>
          <w:rFonts w:ascii="Arial" w:hAnsi="Arial" w:cs="Arial"/>
          <w:sz w:val="24"/>
          <w:szCs w:val="28"/>
        </w:rPr>
        <w:t xml:space="preserve">ılıklar bölgeler arasında gelir </w:t>
      </w:r>
      <w:r w:rsidRPr="008477EA">
        <w:rPr>
          <w:rFonts w:ascii="Arial" w:hAnsi="Arial" w:cs="Arial"/>
          <w:sz w:val="24"/>
          <w:szCs w:val="28"/>
        </w:rPr>
        <w:t>dağılımı ve ekonomik gelişmişlik farklılıklarının sebeplerinden birisidir.</w:t>
      </w:r>
      <w:r>
        <w:rPr>
          <w:rFonts w:ascii="Arial" w:hAnsi="Arial" w:cs="Arial"/>
          <w:sz w:val="24"/>
          <w:szCs w:val="28"/>
        </w:rPr>
        <w:t xml:space="preserve"> Gelişmiş ülkelerin tersine bir </w:t>
      </w:r>
      <w:r w:rsidRPr="008477EA">
        <w:rPr>
          <w:rFonts w:ascii="Arial" w:hAnsi="Arial" w:cs="Arial"/>
          <w:sz w:val="24"/>
          <w:szCs w:val="28"/>
        </w:rPr>
        <w:t>durum olarak çalışan nüfusun %60’ı tarım sektöründe istihdam e</w:t>
      </w:r>
      <w:r>
        <w:rPr>
          <w:rFonts w:ascii="Arial" w:hAnsi="Arial" w:cs="Arial"/>
          <w:sz w:val="24"/>
          <w:szCs w:val="28"/>
        </w:rPr>
        <w:t xml:space="preserve">dilmiştir. Göç artmasına rağmen </w:t>
      </w:r>
      <w:r w:rsidRPr="008477EA">
        <w:rPr>
          <w:rFonts w:ascii="Arial" w:hAnsi="Arial" w:cs="Arial"/>
          <w:sz w:val="24"/>
          <w:szCs w:val="28"/>
        </w:rPr>
        <w:t>hala sınırlıdır ve Hintlilerin büyük çoğunluğunun geçimi toprağa bağlıdır. Ekilebi</w:t>
      </w:r>
      <w:r>
        <w:rPr>
          <w:rFonts w:ascii="Arial" w:hAnsi="Arial" w:cs="Arial"/>
          <w:sz w:val="24"/>
          <w:szCs w:val="28"/>
        </w:rPr>
        <w:t>lir arazinin %40’ı</w:t>
      </w:r>
      <w:r w:rsidRPr="008477EA">
        <w:rPr>
          <w:rFonts w:ascii="Arial" w:hAnsi="Arial" w:cs="Arial"/>
          <w:sz w:val="24"/>
          <w:szCs w:val="28"/>
        </w:rPr>
        <w:t>sulanabilir durumdadır ve geriye kalan arazilerde tarımsal ü</w:t>
      </w:r>
      <w:r>
        <w:rPr>
          <w:rFonts w:ascii="Arial" w:hAnsi="Arial" w:cs="Arial"/>
          <w:sz w:val="24"/>
          <w:szCs w:val="28"/>
        </w:rPr>
        <w:t xml:space="preserve">retim yıllık muson yağmurlarına </w:t>
      </w:r>
      <w:r w:rsidRPr="008477EA">
        <w:rPr>
          <w:rFonts w:ascii="Arial" w:hAnsi="Arial" w:cs="Arial"/>
          <w:sz w:val="24"/>
          <w:szCs w:val="28"/>
        </w:rPr>
        <w:t>bağımlıdır.</w:t>
      </w:r>
    </w:p>
    <w:p w:rsidR="008477EA" w:rsidRDefault="008477EA" w:rsidP="007101AF">
      <w:pPr>
        <w:jc w:val="both"/>
        <w:rPr>
          <w:rFonts w:ascii="Arial" w:hAnsi="Arial" w:cs="Arial"/>
          <w:sz w:val="24"/>
          <w:szCs w:val="28"/>
        </w:rPr>
      </w:pPr>
    </w:p>
    <w:p w:rsidR="008477EA" w:rsidRPr="00E9292A" w:rsidRDefault="008477EA">
      <w:pPr>
        <w:rPr>
          <w:rFonts w:ascii="Arial" w:hAnsi="Arial" w:cs="Arial"/>
          <w:b/>
          <w:sz w:val="28"/>
          <w:szCs w:val="28"/>
        </w:rPr>
      </w:pPr>
      <w:r w:rsidRPr="00E9292A">
        <w:rPr>
          <w:rFonts w:ascii="Arial" w:hAnsi="Arial" w:cs="Arial"/>
          <w:b/>
          <w:sz w:val="28"/>
          <w:szCs w:val="28"/>
        </w:rPr>
        <w:lastRenderedPageBreak/>
        <w:t xml:space="preserve">6.  GENEL EKONOMİK DURUM </w:t>
      </w:r>
    </w:p>
    <w:p w:rsidR="008477EA" w:rsidRPr="00E9292A" w:rsidRDefault="00050752">
      <w:pPr>
        <w:rPr>
          <w:rFonts w:ascii="Arial" w:hAnsi="Arial" w:cs="Arial"/>
          <w:b/>
          <w:sz w:val="24"/>
          <w:szCs w:val="28"/>
        </w:rPr>
      </w:pPr>
      <w:r>
        <w:rPr>
          <w:rFonts w:ascii="Arial" w:hAnsi="Arial" w:cs="Arial"/>
          <w:b/>
          <w:sz w:val="24"/>
          <w:szCs w:val="28"/>
        </w:rPr>
        <w:t>Temel Ekonomik Göstergeler</w:t>
      </w:r>
      <w:r>
        <w:rPr>
          <w:rFonts w:ascii="Arial" w:hAnsi="Arial" w:cs="Arial"/>
          <w:b/>
          <w:sz w:val="24"/>
          <w:szCs w:val="28"/>
        </w:rPr>
        <w:cr/>
      </w:r>
    </w:p>
    <w:tbl>
      <w:tblPr>
        <w:tblStyle w:val="TabloKlavuzu"/>
        <w:tblW w:w="10065" w:type="dxa"/>
        <w:tblInd w:w="-714" w:type="dxa"/>
        <w:tblLook w:val="04A0" w:firstRow="1" w:lastRow="0" w:firstColumn="1" w:lastColumn="0" w:noHBand="0" w:noVBand="1"/>
      </w:tblPr>
      <w:tblGrid>
        <w:gridCol w:w="2477"/>
        <w:gridCol w:w="1084"/>
        <w:gridCol w:w="1084"/>
        <w:gridCol w:w="1084"/>
        <w:gridCol w:w="1084"/>
        <w:gridCol w:w="1084"/>
        <w:gridCol w:w="1084"/>
        <w:gridCol w:w="1084"/>
      </w:tblGrid>
      <w:tr w:rsidR="00CD6487" w:rsidTr="00E9292A">
        <w:tc>
          <w:tcPr>
            <w:tcW w:w="2477" w:type="dxa"/>
          </w:tcPr>
          <w:p w:rsidR="008477EA" w:rsidRDefault="008477EA">
            <w:pPr>
              <w:rPr>
                <w:rFonts w:ascii="Arial" w:hAnsi="Arial" w:cs="Arial"/>
                <w:sz w:val="24"/>
                <w:szCs w:val="28"/>
              </w:rPr>
            </w:pP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2021</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2022</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2023</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2024</w:t>
            </w:r>
            <w:r w:rsidR="00CD6487">
              <w:rPr>
                <w:rFonts w:ascii="Arial" w:hAnsi="Arial" w:cs="Arial"/>
                <w:sz w:val="24"/>
                <w:szCs w:val="28"/>
              </w:rPr>
              <w:t>*</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2025</w:t>
            </w:r>
            <w:r w:rsidR="00CD6487">
              <w:rPr>
                <w:rFonts w:ascii="Arial" w:hAnsi="Arial" w:cs="Arial"/>
                <w:sz w:val="24"/>
                <w:szCs w:val="28"/>
              </w:rPr>
              <w:t>*</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2026</w:t>
            </w:r>
            <w:r w:rsidR="00CD6487">
              <w:rPr>
                <w:rFonts w:ascii="Arial" w:hAnsi="Arial" w:cs="Arial"/>
                <w:sz w:val="24"/>
                <w:szCs w:val="28"/>
              </w:rPr>
              <w:t>*</w:t>
            </w:r>
          </w:p>
        </w:tc>
        <w:tc>
          <w:tcPr>
            <w:tcW w:w="1084" w:type="dxa"/>
          </w:tcPr>
          <w:p w:rsidR="008477EA" w:rsidRDefault="008477EA" w:rsidP="00CD6487">
            <w:pPr>
              <w:jc w:val="center"/>
              <w:rPr>
                <w:rFonts w:ascii="Arial" w:hAnsi="Arial" w:cs="Arial"/>
                <w:sz w:val="24"/>
                <w:szCs w:val="28"/>
              </w:rPr>
            </w:pPr>
            <w:r>
              <w:rPr>
                <w:rFonts w:ascii="Arial" w:hAnsi="Arial" w:cs="Arial"/>
                <w:sz w:val="24"/>
                <w:szCs w:val="28"/>
              </w:rPr>
              <w:t>2027</w:t>
            </w:r>
            <w:r w:rsidR="00CD6487">
              <w:rPr>
                <w:rFonts w:ascii="Arial" w:hAnsi="Arial" w:cs="Arial"/>
                <w:sz w:val="24"/>
                <w:szCs w:val="28"/>
              </w:rPr>
              <w:t>*</w:t>
            </w:r>
          </w:p>
        </w:tc>
      </w:tr>
      <w:tr w:rsidR="00CD6487" w:rsidTr="00E9292A">
        <w:tc>
          <w:tcPr>
            <w:tcW w:w="2477" w:type="dxa"/>
          </w:tcPr>
          <w:p w:rsidR="008477EA" w:rsidRDefault="008477EA" w:rsidP="00CD6487">
            <w:pPr>
              <w:rPr>
                <w:rFonts w:ascii="Arial" w:hAnsi="Arial" w:cs="Arial"/>
                <w:sz w:val="24"/>
                <w:szCs w:val="28"/>
              </w:rPr>
            </w:pPr>
            <w:r w:rsidRPr="008477EA">
              <w:rPr>
                <w:rFonts w:ascii="Arial" w:hAnsi="Arial" w:cs="Arial"/>
                <w:sz w:val="24"/>
                <w:szCs w:val="28"/>
              </w:rPr>
              <w:t>GSYİH (Cari Fiyatlar milyar $)</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3150,31</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3389,69</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3732,22</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4105,38</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4511,85</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4951,62</w:t>
            </w:r>
          </w:p>
        </w:tc>
        <w:tc>
          <w:tcPr>
            <w:tcW w:w="1084" w:type="dxa"/>
          </w:tcPr>
          <w:p w:rsidR="008477EA" w:rsidRDefault="00CD6487" w:rsidP="00CD6487">
            <w:pPr>
              <w:jc w:val="both"/>
              <w:rPr>
                <w:rFonts w:ascii="Arial" w:hAnsi="Arial" w:cs="Arial"/>
                <w:sz w:val="24"/>
                <w:szCs w:val="28"/>
              </w:rPr>
            </w:pPr>
            <w:r w:rsidRPr="00CD6487">
              <w:rPr>
                <w:rFonts w:ascii="Arial" w:hAnsi="Arial" w:cs="Arial"/>
                <w:sz w:val="24"/>
                <w:szCs w:val="28"/>
              </w:rPr>
              <w:t>5427,39</w:t>
            </w:r>
          </w:p>
        </w:tc>
      </w:tr>
      <w:tr w:rsidR="00CD6487" w:rsidTr="00E9292A">
        <w:tc>
          <w:tcPr>
            <w:tcW w:w="2477" w:type="dxa"/>
          </w:tcPr>
          <w:p w:rsidR="008477EA" w:rsidRDefault="008477EA" w:rsidP="00CD6487">
            <w:pPr>
              <w:rPr>
                <w:rFonts w:ascii="Arial" w:hAnsi="Arial" w:cs="Arial"/>
                <w:sz w:val="24"/>
                <w:szCs w:val="28"/>
              </w:rPr>
            </w:pPr>
            <w:r w:rsidRPr="008477EA">
              <w:rPr>
                <w:rFonts w:ascii="Arial" w:hAnsi="Arial" w:cs="Arial"/>
                <w:sz w:val="24"/>
                <w:szCs w:val="28"/>
              </w:rPr>
              <w:t>GSYİH Büyüme (Sabit Fiyatlar -%)</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9,1</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7,2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6,3</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6,3</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6,3</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6,3</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6,3</w:t>
            </w:r>
          </w:p>
        </w:tc>
      </w:tr>
      <w:tr w:rsidR="00CD6487" w:rsidTr="00E9292A">
        <w:tc>
          <w:tcPr>
            <w:tcW w:w="2477" w:type="dxa"/>
          </w:tcPr>
          <w:p w:rsidR="008477EA" w:rsidRPr="008477EA" w:rsidRDefault="008477EA" w:rsidP="00CD6487">
            <w:pPr>
              <w:rPr>
                <w:rFonts w:ascii="Arial" w:hAnsi="Arial" w:cs="Arial"/>
                <w:sz w:val="24"/>
                <w:szCs w:val="28"/>
              </w:rPr>
            </w:pPr>
            <w:r w:rsidRPr="008477EA">
              <w:rPr>
                <w:rFonts w:ascii="Arial" w:hAnsi="Arial" w:cs="Arial"/>
                <w:sz w:val="24"/>
                <w:szCs w:val="28"/>
              </w:rPr>
              <w:t>Kişi Başına Düşen Milli Gelir (Cari</w:t>
            </w:r>
          </w:p>
          <w:p w:rsidR="008477EA" w:rsidRDefault="008477EA" w:rsidP="00CD6487">
            <w:pPr>
              <w:rPr>
                <w:rFonts w:ascii="Arial" w:hAnsi="Arial" w:cs="Arial"/>
                <w:sz w:val="24"/>
                <w:szCs w:val="28"/>
              </w:rPr>
            </w:pPr>
            <w:r w:rsidRPr="008477EA">
              <w:rPr>
                <w:rFonts w:ascii="Arial" w:hAnsi="Arial" w:cs="Arial"/>
                <w:sz w:val="24"/>
                <w:szCs w:val="28"/>
              </w:rPr>
              <w:t>Fiyatlar- $)</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2238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2392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2612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2848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3102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3375</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3668</w:t>
            </w:r>
          </w:p>
        </w:tc>
      </w:tr>
      <w:tr w:rsidR="00CD6487" w:rsidTr="00E9292A">
        <w:tc>
          <w:tcPr>
            <w:tcW w:w="2477" w:type="dxa"/>
          </w:tcPr>
          <w:p w:rsidR="008477EA" w:rsidRDefault="008477EA" w:rsidP="00CD6487">
            <w:pPr>
              <w:rPr>
                <w:rFonts w:ascii="Arial" w:hAnsi="Arial" w:cs="Arial"/>
                <w:sz w:val="24"/>
                <w:szCs w:val="28"/>
              </w:rPr>
            </w:pPr>
            <w:r w:rsidRPr="008477EA">
              <w:rPr>
                <w:rFonts w:ascii="Arial" w:hAnsi="Arial" w:cs="Arial"/>
                <w:sz w:val="24"/>
                <w:szCs w:val="28"/>
              </w:rPr>
              <w:t>Tüketici Fiyat Enflasyonu (</w:t>
            </w:r>
            <w:proofErr w:type="spellStart"/>
            <w:r w:rsidRPr="008477EA">
              <w:rPr>
                <w:rFonts w:ascii="Arial" w:hAnsi="Arial" w:cs="Arial"/>
                <w:sz w:val="24"/>
                <w:szCs w:val="28"/>
              </w:rPr>
              <w:t>ort</w:t>
            </w:r>
            <w:proofErr w:type="spellEnd"/>
            <w:r w:rsidRPr="008477EA">
              <w:rPr>
                <w:rFonts w:ascii="Arial" w:hAnsi="Arial" w:cs="Arial"/>
                <w:sz w:val="24"/>
                <w:szCs w:val="28"/>
              </w:rPr>
              <w:t>, %)</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5,5</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6,7</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5,5</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4,6</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4,1</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4,1</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4,0</w:t>
            </w:r>
          </w:p>
        </w:tc>
      </w:tr>
      <w:tr w:rsidR="00E9292A" w:rsidTr="00E9292A">
        <w:tc>
          <w:tcPr>
            <w:tcW w:w="2477" w:type="dxa"/>
          </w:tcPr>
          <w:p w:rsidR="008477EA" w:rsidRPr="008477EA" w:rsidRDefault="008477EA" w:rsidP="00CD6487">
            <w:pPr>
              <w:rPr>
                <w:rFonts w:ascii="Arial" w:hAnsi="Arial" w:cs="Arial"/>
                <w:sz w:val="24"/>
                <w:szCs w:val="28"/>
              </w:rPr>
            </w:pPr>
            <w:r w:rsidRPr="008477EA">
              <w:rPr>
                <w:rFonts w:ascii="Arial" w:hAnsi="Arial" w:cs="Arial"/>
                <w:sz w:val="24"/>
                <w:szCs w:val="28"/>
              </w:rPr>
              <w:t xml:space="preserve">Cari İşlemler Dengesinin </w:t>
            </w:r>
            <w:proofErr w:type="spellStart"/>
            <w:r w:rsidRPr="008477EA">
              <w:rPr>
                <w:rFonts w:ascii="Arial" w:hAnsi="Arial" w:cs="Arial"/>
                <w:sz w:val="24"/>
                <w:szCs w:val="28"/>
              </w:rPr>
              <w:t>GSYİH'ya</w:t>
            </w:r>
            <w:proofErr w:type="spellEnd"/>
          </w:p>
          <w:p w:rsidR="008477EA" w:rsidRPr="008477EA" w:rsidRDefault="008477EA" w:rsidP="00CD6487">
            <w:pPr>
              <w:rPr>
                <w:rFonts w:ascii="Arial" w:hAnsi="Arial" w:cs="Arial"/>
                <w:sz w:val="24"/>
                <w:szCs w:val="28"/>
              </w:rPr>
            </w:pPr>
            <w:r>
              <w:rPr>
                <w:rFonts w:ascii="Arial" w:hAnsi="Arial" w:cs="Arial"/>
                <w:sz w:val="24"/>
                <w:szCs w:val="28"/>
              </w:rPr>
              <w:t>Oranı (%)</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-1,2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-1,8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-1,8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-1,9</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-2,0</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-2,1</w:t>
            </w:r>
          </w:p>
        </w:tc>
      </w:tr>
      <w:tr w:rsidR="008477EA" w:rsidTr="00E9292A">
        <w:tc>
          <w:tcPr>
            <w:tcW w:w="2477" w:type="dxa"/>
          </w:tcPr>
          <w:p w:rsidR="008477EA" w:rsidRPr="008477EA" w:rsidRDefault="008477EA" w:rsidP="00CD6487">
            <w:pPr>
              <w:rPr>
                <w:rFonts w:ascii="Arial" w:hAnsi="Arial" w:cs="Arial"/>
                <w:sz w:val="24"/>
                <w:szCs w:val="28"/>
              </w:rPr>
            </w:pPr>
            <w:r w:rsidRPr="008477EA">
              <w:rPr>
                <w:rFonts w:ascii="Arial" w:hAnsi="Arial" w:cs="Arial"/>
                <w:sz w:val="24"/>
                <w:szCs w:val="28"/>
              </w:rPr>
              <w:t>Devletin Genel Toplam</w:t>
            </w:r>
          </w:p>
          <w:p w:rsidR="008477EA" w:rsidRPr="008477EA" w:rsidRDefault="008477EA" w:rsidP="00CD6487">
            <w:pPr>
              <w:rPr>
                <w:rFonts w:ascii="Arial" w:hAnsi="Arial" w:cs="Arial"/>
                <w:sz w:val="24"/>
                <w:szCs w:val="28"/>
              </w:rPr>
            </w:pPr>
            <w:r w:rsidRPr="008477EA">
              <w:rPr>
                <w:rFonts w:ascii="Arial" w:hAnsi="Arial" w:cs="Arial"/>
                <w:sz w:val="24"/>
                <w:szCs w:val="28"/>
              </w:rPr>
              <w:t xml:space="preserve">Borçlanmasının </w:t>
            </w:r>
            <w:proofErr w:type="spellStart"/>
            <w:r w:rsidRPr="008477EA">
              <w:rPr>
                <w:rFonts w:ascii="Arial" w:hAnsi="Arial" w:cs="Arial"/>
                <w:sz w:val="24"/>
                <w:szCs w:val="28"/>
              </w:rPr>
              <w:t>GSYİH'ya</w:t>
            </w:r>
            <w:proofErr w:type="spellEnd"/>
            <w:r w:rsidRPr="008477EA">
              <w:rPr>
                <w:rFonts w:ascii="Arial" w:hAnsi="Arial" w:cs="Arial"/>
                <w:sz w:val="24"/>
                <w:szCs w:val="28"/>
              </w:rPr>
              <w:t xml:space="preserve"> Oranı (%)</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83,8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81,0</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81,9</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82,3</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82,2</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81,8</w:t>
            </w:r>
          </w:p>
        </w:tc>
        <w:tc>
          <w:tcPr>
            <w:tcW w:w="1084" w:type="dxa"/>
          </w:tcPr>
          <w:p w:rsidR="008477EA" w:rsidRDefault="00CD6487" w:rsidP="00CD6487">
            <w:pPr>
              <w:jc w:val="both"/>
              <w:rPr>
                <w:rFonts w:ascii="Arial" w:hAnsi="Arial" w:cs="Arial"/>
                <w:sz w:val="24"/>
                <w:szCs w:val="28"/>
              </w:rPr>
            </w:pPr>
            <w:r>
              <w:rPr>
                <w:rFonts w:ascii="Arial" w:hAnsi="Arial" w:cs="Arial"/>
                <w:sz w:val="24"/>
                <w:szCs w:val="28"/>
              </w:rPr>
              <w:t>81,2</w:t>
            </w:r>
          </w:p>
        </w:tc>
      </w:tr>
    </w:tbl>
    <w:p w:rsidR="00E9292A" w:rsidRDefault="00E9292A" w:rsidP="00E9292A">
      <w:pPr>
        <w:rPr>
          <w:rFonts w:ascii="Arial" w:hAnsi="Arial" w:cs="Arial"/>
          <w:sz w:val="24"/>
          <w:szCs w:val="28"/>
        </w:rPr>
      </w:pPr>
      <w:r w:rsidRPr="00E9292A">
        <w:rPr>
          <w:rFonts w:ascii="Arial" w:hAnsi="Arial" w:cs="Arial"/>
          <w:sz w:val="20"/>
          <w:szCs w:val="28"/>
        </w:rPr>
        <w:t xml:space="preserve">(*) Tahmini Veriler Kaynak: IMF </w:t>
      </w:r>
    </w:p>
    <w:p w:rsidR="00E9292A" w:rsidRDefault="00E9292A" w:rsidP="00E9292A">
      <w:pPr>
        <w:rPr>
          <w:rFonts w:ascii="Arial" w:hAnsi="Arial" w:cs="Arial"/>
          <w:sz w:val="24"/>
          <w:szCs w:val="28"/>
        </w:rPr>
      </w:pPr>
    </w:p>
    <w:p w:rsidR="00E9292A" w:rsidRPr="00E9292A" w:rsidRDefault="00E9292A" w:rsidP="00050752">
      <w:pPr>
        <w:jc w:val="both"/>
        <w:rPr>
          <w:rFonts w:ascii="Arial" w:hAnsi="Arial" w:cs="Arial"/>
          <w:sz w:val="24"/>
          <w:szCs w:val="28"/>
        </w:rPr>
      </w:pPr>
      <w:r w:rsidRPr="00E9292A">
        <w:rPr>
          <w:rFonts w:ascii="Arial" w:hAnsi="Arial" w:cs="Arial"/>
          <w:sz w:val="24"/>
          <w:szCs w:val="28"/>
        </w:rPr>
        <w:t>Hindistan ekonomisi iki farklı yapıya sahiptir. Bir yanda, orta sınıfın e</w:t>
      </w:r>
      <w:r>
        <w:rPr>
          <w:rFonts w:ascii="Arial" w:hAnsi="Arial" w:cs="Arial"/>
          <w:sz w:val="24"/>
          <w:szCs w:val="28"/>
        </w:rPr>
        <w:t xml:space="preserve">n vasıflı kişilerini çalıştıran </w:t>
      </w:r>
      <w:r w:rsidRPr="00E9292A">
        <w:rPr>
          <w:rFonts w:ascii="Arial" w:hAnsi="Arial" w:cs="Arial"/>
          <w:sz w:val="24"/>
          <w:szCs w:val="28"/>
        </w:rPr>
        <w:t>modern ve küresel rekabet gücüne sahip bilgiye dayalı</w:t>
      </w:r>
      <w:r>
        <w:rPr>
          <w:rFonts w:ascii="Arial" w:hAnsi="Arial" w:cs="Arial"/>
          <w:sz w:val="24"/>
          <w:szCs w:val="28"/>
        </w:rPr>
        <w:t xml:space="preserve"> hizmetler sektörü, diğer yanda </w:t>
      </w:r>
      <w:r w:rsidRPr="00E9292A">
        <w:rPr>
          <w:rFonts w:ascii="Arial" w:hAnsi="Arial" w:cs="Arial"/>
          <w:sz w:val="24"/>
          <w:szCs w:val="28"/>
        </w:rPr>
        <w:t xml:space="preserve">çoğunlukla az eğitimli işgücünün çalıştığı ve </w:t>
      </w:r>
      <w:proofErr w:type="gramStart"/>
      <w:r w:rsidRPr="00E9292A">
        <w:rPr>
          <w:rFonts w:ascii="Arial" w:hAnsi="Arial" w:cs="Arial"/>
          <w:sz w:val="24"/>
          <w:szCs w:val="28"/>
        </w:rPr>
        <w:t>rekoltesi</w:t>
      </w:r>
      <w:proofErr w:type="gramEnd"/>
      <w:r w:rsidRPr="00E9292A">
        <w:rPr>
          <w:rFonts w:ascii="Arial" w:hAnsi="Arial" w:cs="Arial"/>
          <w:sz w:val="24"/>
          <w:szCs w:val="28"/>
        </w:rPr>
        <w:t xml:space="preserve"> ya</w:t>
      </w:r>
      <w:r>
        <w:rPr>
          <w:rFonts w:ascii="Arial" w:hAnsi="Arial" w:cs="Arial"/>
          <w:sz w:val="24"/>
          <w:szCs w:val="28"/>
        </w:rPr>
        <w:t xml:space="preserve">ğışlara bağlı tarım sektörü yer </w:t>
      </w:r>
      <w:r w:rsidRPr="00E9292A">
        <w:rPr>
          <w:rFonts w:ascii="Arial" w:hAnsi="Arial" w:cs="Arial"/>
          <w:sz w:val="24"/>
          <w:szCs w:val="28"/>
        </w:rPr>
        <w:t>almaktadır. İmalat sektörü geleneksel olarak kalitesiz mal</w:t>
      </w:r>
      <w:r>
        <w:rPr>
          <w:rFonts w:ascii="Arial" w:hAnsi="Arial" w:cs="Arial"/>
          <w:sz w:val="24"/>
          <w:szCs w:val="28"/>
        </w:rPr>
        <w:t xml:space="preserve">lar nedeniyle yetersiz olmasına </w:t>
      </w:r>
      <w:r w:rsidRPr="00E9292A">
        <w:rPr>
          <w:rFonts w:ascii="Arial" w:hAnsi="Arial" w:cs="Arial"/>
          <w:sz w:val="24"/>
          <w:szCs w:val="28"/>
        </w:rPr>
        <w:t>rağmen, bu durum son yıllarda değişmeye başlamıştır.</w:t>
      </w:r>
    </w:p>
    <w:p w:rsidR="00E9292A" w:rsidRPr="00E9292A" w:rsidRDefault="00E9292A" w:rsidP="00050752">
      <w:pPr>
        <w:jc w:val="both"/>
        <w:rPr>
          <w:rFonts w:ascii="Arial" w:hAnsi="Arial" w:cs="Arial"/>
          <w:sz w:val="24"/>
          <w:szCs w:val="28"/>
        </w:rPr>
      </w:pPr>
      <w:r w:rsidRPr="00E9292A">
        <w:rPr>
          <w:rFonts w:ascii="Arial" w:hAnsi="Arial" w:cs="Arial"/>
          <w:sz w:val="24"/>
          <w:szCs w:val="28"/>
        </w:rPr>
        <w:t xml:space="preserve">Son yıllarda ekonominin tarıma bağımlılığı azalmış olsa da </w:t>
      </w:r>
      <w:proofErr w:type="spellStart"/>
      <w:r w:rsidRPr="00E9292A">
        <w:rPr>
          <w:rFonts w:ascii="Arial" w:hAnsi="Arial" w:cs="Arial"/>
          <w:sz w:val="24"/>
          <w:szCs w:val="28"/>
        </w:rPr>
        <w:t>GSYİH</w:t>
      </w:r>
      <w:r>
        <w:rPr>
          <w:rFonts w:ascii="Arial" w:hAnsi="Arial" w:cs="Arial"/>
          <w:sz w:val="24"/>
          <w:szCs w:val="28"/>
        </w:rPr>
        <w:t>’deki</w:t>
      </w:r>
      <w:proofErr w:type="spellEnd"/>
      <w:r>
        <w:rPr>
          <w:rFonts w:ascii="Arial" w:hAnsi="Arial" w:cs="Arial"/>
          <w:sz w:val="24"/>
          <w:szCs w:val="28"/>
        </w:rPr>
        <w:t xml:space="preserve"> dalgalanmalar hala yıllık </w:t>
      </w:r>
      <w:r w:rsidRPr="00E9292A">
        <w:rPr>
          <w:rFonts w:ascii="Arial" w:hAnsi="Arial" w:cs="Arial"/>
          <w:sz w:val="24"/>
          <w:szCs w:val="28"/>
        </w:rPr>
        <w:t>muson yağmurlarının sonuçlarına bağlıdır. Toprak sahiple</w:t>
      </w:r>
      <w:r>
        <w:rPr>
          <w:rFonts w:ascii="Arial" w:hAnsi="Arial" w:cs="Arial"/>
          <w:sz w:val="24"/>
          <w:szCs w:val="28"/>
        </w:rPr>
        <w:t xml:space="preserve">rinin çoğunluğu geçinecek kadar </w:t>
      </w:r>
      <w:r w:rsidRPr="00E9292A">
        <w:rPr>
          <w:rFonts w:ascii="Arial" w:hAnsi="Arial" w:cs="Arial"/>
          <w:sz w:val="24"/>
          <w:szCs w:val="28"/>
        </w:rPr>
        <w:t>tarım yapabilmektedirler ve çoğu çiftçi ailesi yo</w:t>
      </w:r>
      <w:r>
        <w:rPr>
          <w:rFonts w:ascii="Arial" w:hAnsi="Arial" w:cs="Arial"/>
          <w:sz w:val="24"/>
          <w:szCs w:val="28"/>
        </w:rPr>
        <w:t xml:space="preserve">ksulluk sınırının altında yaşam </w:t>
      </w:r>
      <w:r w:rsidRPr="00E9292A">
        <w:rPr>
          <w:rFonts w:ascii="Arial" w:hAnsi="Arial" w:cs="Arial"/>
          <w:sz w:val="24"/>
          <w:szCs w:val="28"/>
        </w:rPr>
        <w:t>sürdürmektedirler. Hindistan özellikle kırsal alanda d</w:t>
      </w:r>
      <w:r>
        <w:rPr>
          <w:rFonts w:ascii="Arial" w:hAnsi="Arial" w:cs="Arial"/>
          <w:sz w:val="24"/>
          <w:szCs w:val="28"/>
        </w:rPr>
        <w:t xml:space="preserve">ünyadaki en kötü insani gelişim </w:t>
      </w:r>
      <w:r w:rsidRPr="00E9292A">
        <w:rPr>
          <w:rFonts w:ascii="Arial" w:hAnsi="Arial" w:cs="Arial"/>
          <w:sz w:val="24"/>
          <w:szCs w:val="28"/>
        </w:rPr>
        <w:t>indekslerinin bazılarına sahiptir. Buna karşın, Hindistan</w:t>
      </w:r>
      <w:r>
        <w:rPr>
          <w:rFonts w:ascii="Arial" w:hAnsi="Arial" w:cs="Arial"/>
          <w:sz w:val="24"/>
          <w:szCs w:val="28"/>
        </w:rPr>
        <w:t xml:space="preserve"> aynı zamanda çok sayıda yüksek </w:t>
      </w:r>
      <w:r w:rsidRPr="00E9292A">
        <w:rPr>
          <w:rFonts w:ascii="Arial" w:hAnsi="Arial" w:cs="Arial"/>
          <w:sz w:val="24"/>
          <w:szCs w:val="28"/>
        </w:rPr>
        <w:t>nitelikli işgücüne ve birkaç tane uluslararası endüstriyel gruba da sahiptir.</w:t>
      </w:r>
    </w:p>
    <w:p w:rsidR="00E9292A" w:rsidRPr="00E9292A" w:rsidRDefault="00E9292A" w:rsidP="00050752">
      <w:pPr>
        <w:jc w:val="both"/>
        <w:rPr>
          <w:rFonts w:ascii="Arial" w:hAnsi="Arial" w:cs="Arial"/>
          <w:sz w:val="24"/>
          <w:szCs w:val="28"/>
        </w:rPr>
      </w:pPr>
      <w:r w:rsidRPr="00E9292A">
        <w:rPr>
          <w:rFonts w:ascii="Arial" w:hAnsi="Arial" w:cs="Arial"/>
          <w:sz w:val="24"/>
          <w:szCs w:val="28"/>
        </w:rPr>
        <w:t>Son yıllardaki büyümeye rağmen mali durum zayıflığın</w:t>
      </w:r>
      <w:r>
        <w:rPr>
          <w:rFonts w:ascii="Arial" w:hAnsi="Arial" w:cs="Arial"/>
          <w:sz w:val="24"/>
          <w:szCs w:val="28"/>
        </w:rPr>
        <w:t xml:space="preserve">ı sürdürmektedir. Bütçe açığını </w:t>
      </w:r>
      <w:r w:rsidRPr="00E9292A">
        <w:rPr>
          <w:rFonts w:ascii="Arial" w:hAnsi="Arial" w:cs="Arial"/>
          <w:sz w:val="24"/>
          <w:szCs w:val="28"/>
        </w:rPr>
        <w:t>azaltmaya yönelik politikaların uygulanması politik olarak zorunlu hale gelmiştir.</w:t>
      </w:r>
    </w:p>
    <w:p w:rsidR="00E9292A" w:rsidRPr="00E9292A" w:rsidRDefault="00E9292A" w:rsidP="00050752">
      <w:pPr>
        <w:jc w:val="both"/>
        <w:rPr>
          <w:rFonts w:ascii="Arial" w:hAnsi="Arial" w:cs="Arial"/>
          <w:sz w:val="24"/>
          <w:szCs w:val="28"/>
        </w:rPr>
      </w:pPr>
      <w:r w:rsidRPr="00E9292A">
        <w:rPr>
          <w:rFonts w:ascii="Arial" w:hAnsi="Arial" w:cs="Arial"/>
          <w:sz w:val="24"/>
          <w:szCs w:val="28"/>
        </w:rPr>
        <w:t>Sübvansiyonları azaltmak, vergi mükelleflerinin sayısını ve ta</w:t>
      </w:r>
      <w:r>
        <w:rPr>
          <w:rFonts w:ascii="Arial" w:hAnsi="Arial" w:cs="Arial"/>
          <w:sz w:val="24"/>
          <w:szCs w:val="28"/>
        </w:rPr>
        <w:t xml:space="preserve">hsilat oranların artırmak, kamu </w:t>
      </w:r>
      <w:r w:rsidRPr="00E9292A">
        <w:rPr>
          <w:rFonts w:ascii="Arial" w:hAnsi="Arial" w:cs="Arial"/>
          <w:sz w:val="24"/>
          <w:szCs w:val="28"/>
        </w:rPr>
        <w:t>çalışanlarının sayısını azaltmak ve kamu teşekküllerini kap</w:t>
      </w:r>
      <w:r>
        <w:rPr>
          <w:rFonts w:ascii="Arial" w:hAnsi="Arial" w:cs="Arial"/>
          <w:sz w:val="24"/>
          <w:szCs w:val="28"/>
        </w:rPr>
        <w:t xml:space="preserve">atmak ya da özelleştirmek güçlü </w:t>
      </w:r>
      <w:r w:rsidRPr="00E9292A">
        <w:rPr>
          <w:rFonts w:ascii="Arial" w:hAnsi="Arial" w:cs="Arial"/>
          <w:sz w:val="24"/>
          <w:szCs w:val="28"/>
        </w:rPr>
        <w:t>karşıt gruplar yüzünden oldukça zordur.</w:t>
      </w:r>
    </w:p>
    <w:p w:rsidR="00E9292A" w:rsidRPr="00E9292A" w:rsidRDefault="00E9292A" w:rsidP="00050752">
      <w:pPr>
        <w:jc w:val="both"/>
        <w:rPr>
          <w:rFonts w:ascii="Arial" w:hAnsi="Arial" w:cs="Arial"/>
          <w:sz w:val="24"/>
          <w:szCs w:val="28"/>
        </w:rPr>
      </w:pPr>
      <w:r w:rsidRPr="00E9292A">
        <w:rPr>
          <w:rFonts w:ascii="Arial" w:hAnsi="Arial" w:cs="Arial"/>
          <w:sz w:val="24"/>
          <w:szCs w:val="28"/>
        </w:rPr>
        <w:t>Hindistan’ın son ekonomik reformları başlattığı 1990’lı yıll</w:t>
      </w:r>
      <w:r>
        <w:rPr>
          <w:rFonts w:ascii="Arial" w:hAnsi="Arial" w:cs="Arial"/>
          <w:sz w:val="24"/>
          <w:szCs w:val="28"/>
        </w:rPr>
        <w:t xml:space="preserve">arın başından itibaren ekonomik </w:t>
      </w:r>
      <w:r w:rsidRPr="00E9292A">
        <w:rPr>
          <w:rFonts w:ascii="Arial" w:hAnsi="Arial" w:cs="Arial"/>
          <w:sz w:val="24"/>
          <w:szCs w:val="28"/>
        </w:rPr>
        <w:t>büyüme geçici olmaktan çıkmış ve önceki yıllardan daha yüksek bir büyüme oranı</w:t>
      </w:r>
      <w:r>
        <w:rPr>
          <w:rFonts w:ascii="Arial" w:hAnsi="Arial" w:cs="Arial"/>
          <w:sz w:val="24"/>
          <w:szCs w:val="28"/>
        </w:rPr>
        <w:t xml:space="preserve"> </w:t>
      </w:r>
      <w:r w:rsidRPr="00E9292A">
        <w:rPr>
          <w:rFonts w:ascii="Arial" w:hAnsi="Arial" w:cs="Arial"/>
          <w:sz w:val="24"/>
          <w:szCs w:val="28"/>
        </w:rPr>
        <w:t>yakalanmıştır</w:t>
      </w:r>
      <w:r>
        <w:rPr>
          <w:rFonts w:ascii="Arial" w:hAnsi="Arial" w:cs="Arial"/>
          <w:sz w:val="24"/>
          <w:szCs w:val="28"/>
        </w:rPr>
        <w:t>.</w:t>
      </w:r>
    </w:p>
    <w:p w:rsidR="00E9292A" w:rsidRDefault="00E9292A" w:rsidP="00050752">
      <w:pPr>
        <w:jc w:val="both"/>
        <w:rPr>
          <w:rFonts w:ascii="Arial" w:hAnsi="Arial" w:cs="Arial"/>
          <w:sz w:val="24"/>
          <w:szCs w:val="28"/>
        </w:rPr>
      </w:pPr>
      <w:r w:rsidRPr="00E9292A">
        <w:rPr>
          <w:rFonts w:ascii="Arial" w:hAnsi="Arial" w:cs="Arial"/>
          <w:sz w:val="24"/>
          <w:szCs w:val="28"/>
        </w:rPr>
        <w:lastRenderedPageBreak/>
        <w:t xml:space="preserve">Hindistan’ın son 3 yıl itibariyle yıllık reel büyüme verilerine </w:t>
      </w:r>
      <w:r>
        <w:rPr>
          <w:rFonts w:ascii="Arial" w:hAnsi="Arial" w:cs="Arial"/>
          <w:sz w:val="24"/>
          <w:szCs w:val="28"/>
        </w:rPr>
        <w:t xml:space="preserve">bakıldığında; ülke ekonomisinin </w:t>
      </w:r>
      <w:r w:rsidRPr="00E9292A">
        <w:rPr>
          <w:rFonts w:ascii="Arial" w:hAnsi="Arial" w:cs="Arial"/>
          <w:sz w:val="24"/>
          <w:szCs w:val="28"/>
        </w:rPr>
        <w:t>2020’de %6,6 küçüldüğü, 2021 yılında %9,1 ve 2022 yılında %7,2 oran</w:t>
      </w:r>
      <w:r>
        <w:rPr>
          <w:rFonts w:ascii="Arial" w:hAnsi="Arial" w:cs="Arial"/>
          <w:sz w:val="24"/>
          <w:szCs w:val="28"/>
        </w:rPr>
        <w:t xml:space="preserve">larında büyüme </w:t>
      </w:r>
      <w:r w:rsidRPr="00E9292A">
        <w:rPr>
          <w:rFonts w:ascii="Arial" w:hAnsi="Arial" w:cs="Arial"/>
          <w:sz w:val="24"/>
          <w:szCs w:val="28"/>
        </w:rPr>
        <w:t>kaydettiği görülmektedir. IMF tahminlerine göre, ülke ekonom</w:t>
      </w:r>
      <w:r>
        <w:rPr>
          <w:rFonts w:ascii="Arial" w:hAnsi="Arial" w:cs="Arial"/>
          <w:sz w:val="24"/>
          <w:szCs w:val="28"/>
        </w:rPr>
        <w:t xml:space="preserve">isinin 2023 ve devamında yıllık </w:t>
      </w:r>
      <w:r w:rsidRPr="00E9292A">
        <w:rPr>
          <w:rFonts w:ascii="Arial" w:hAnsi="Arial" w:cs="Arial"/>
          <w:sz w:val="24"/>
          <w:szCs w:val="28"/>
        </w:rPr>
        <w:t>%6,3 oranlarında büyümesi beklenmektedir.</w:t>
      </w:r>
    </w:p>
    <w:p w:rsidR="00E9292A" w:rsidRDefault="00E9292A" w:rsidP="00050752">
      <w:pPr>
        <w:jc w:val="both"/>
        <w:rPr>
          <w:rFonts w:ascii="Arial" w:hAnsi="Arial" w:cs="Arial"/>
          <w:sz w:val="24"/>
          <w:szCs w:val="28"/>
        </w:rPr>
      </w:pPr>
    </w:p>
    <w:p w:rsidR="00E9292A" w:rsidRDefault="00E9292A" w:rsidP="00050752">
      <w:pPr>
        <w:jc w:val="both"/>
        <w:rPr>
          <w:rFonts w:ascii="Arial" w:hAnsi="Arial" w:cs="Arial"/>
          <w:sz w:val="24"/>
          <w:szCs w:val="28"/>
        </w:rPr>
      </w:pPr>
    </w:p>
    <w:p w:rsidR="00E9292A" w:rsidRPr="00E9292A" w:rsidRDefault="00E9292A" w:rsidP="00E9292A">
      <w:pPr>
        <w:rPr>
          <w:rFonts w:ascii="Arial" w:hAnsi="Arial" w:cs="Arial"/>
          <w:b/>
          <w:sz w:val="28"/>
          <w:szCs w:val="28"/>
        </w:rPr>
      </w:pPr>
      <w:r w:rsidRPr="00E9292A">
        <w:rPr>
          <w:rFonts w:ascii="Arial" w:hAnsi="Arial" w:cs="Arial"/>
          <w:b/>
          <w:sz w:val="28"/>
          <w:szCs w:val="28"/>
        </w:rPr>
        <w:t>7. DIŞ TİCARET:</w:t>
      </w:r>
    </w:p>
    <w:p w:rsidR="00E9292A" w:rsidRPr="00E9292A" w:rsidRDefault="00E9292A" w:rsidP="00E9292A">
      <w:pPr>
        <w:rPr>
          <w:rFonts w:ascii="Arial" w:hAnsi="Arial" w:cs="Arial"/>
          <w:b/>
          <w:sz w:val="24"/>
          <w:szCs w:val="28"/>
        </w:rPr>
      </w:pPr>
      <w:r w:rsidRPr="00E9292A">
        <w:rPr>
          <w:rFonts w:ascii="Arial" w:hAnsi="Arial" w:cs="Arial"/>
          <w:b/>
          <w:sz w:val="24"/>
          <w:szCs w:val="28"/>
        </w:rPr>
        <w:t>Genel Durum</w:t>
      </w:r>
    </w:p>
    <w:p w:rsidR="00E9292A" w:rsidRPr="00E9292A" w:rsidRDefault="00E9292A" w:rsidP="00E9292A">
      <w:pPr>
        <w:rPr>
          <w:rFonts w:ascii="Arial" w:hAnsi="Arial" w:cs="Arial"/>
          <w:sz w:val="24"/>
          <w:szCs w:val="28"/>
        </w:rPr>
      </w:pPr>
      <w:r>
        <w:rPr>
          <w:rFonts w:ascii="Arial" w:hAnsi="Arial" w:cs="Arial"/>
          <w:noProof/>
          <w:sz w:val="24"/>
          <w:szCs w:val="28"/>
          <w:lang w:eastAsia="tr-TR"/>
        </w:rPr>
        <w:drawing>
          <wp:inline distT="0" distB="0" distL="0" distR="0">
            <wp:extent cx="5886450" cy="37528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292A" w:rsidRPr="00CA5CE8" w:rsidRDefault="00E9292A" w:rsidP="00CA5CE8">
      <w:pPr>
        <w:jc w:val="both"/>
        <w:rPr>
          <w:rFonts w:ascii="Arial" w:hAnsi="Arial" w:cs="Arial"/>
          <w:sz w:val="20"/>
          <w:szCs w:val="24"/>
        </w:rPr>
      </w:pPr>
      <w:r w:rsidRPr="00CA5CE8">
        <w:rPr>
          <w:rFonts w:ascii="Arial" w:hAnsi="Arial" w:cs="Arial"/>
          <w:sz w:val="20"/>
          <w:szCs w:val="24"/>
        </w:rPr>
        <w:t xml:space="preserve">Kaynak: </w:t>
      </w:r>
      <w:proofErr w:type="spellStart"/>
      <w:r w:rsidRPr="00CA5CE8">
        <w:rPr>
          <w:rFonts w:ascii="Arial" w:hAnsi="Arial" w:cs="Arial"/>
          <w:sz w:val="20"/>
          <w:szCs w:val="24"/>
        </w:rPr>
        <w:t>Trademap</w:t>
      </w:r>
      <w:proofErr w:type="spellEnd"/>
      <w:r w:rsidRPr="00CA5CE8">
        <w:rPr>
          <w:rFonts w:ascii="Arial" w:hAnsi="Arial" w:cs="Arial"/>
          <w:sz w:val="20"/>
          <w:szCs w:val="24"/>
        </w:rPr>
        <w:t xml:space="preserve"> </w:t>
      </w:r>
    </w:p>
    <w:p w:rsidR="00CA5CE8" w:rsidRDefault="00CA5CE8" w:rsidP="00050752">
      <w:pPr>
        <w:jc w:val="both"/>
        <w:rPr>
          <w:rFonts w:ascii="Arial" w:hAnsi="Arial" w:cs="Arial"/>
          <w:sz w:val="24"/>
          <w:szCs w:val="24"/>
        </w:rPr>
      </w:pPr>
      <w:r w:rsidRPr="00CA5CE8">
        <w:rPr>
          <w:rFonts w:ascii="Arial" w:hAnsi="Arial" w:cs="Arial"/>
          <w:sz w:val="24"/>
          <w:szCs w:val="24"/>
        </w:rPr>
        <w:t xml:space="preserve">Hindistan’ın ihracatı 2022 yılında, bir önceki yıla göre %14,7 oranında artarak 452,7 milyar dolar olmuştur. Aynı yıl ülkenin ithalatı ise %28,4 oranında artmış ve 732,6 milyar dolar olmuştur. Aynı yıl ülkenin dış ticaret hacmi %22,8 oranında artarak 1,2 trilyon dolara yükselmiş, dış ticaret açığı ise %59,4 oranında artarak 279,9 milyar dolar olmuştur. 2022 yılı itibariyle ülkenin ihracatındaki başlıca ürünler: İşlenmiş petrol ürünleri, elmaslar, ilaçlar, mücevherat, telefon cihazları, pirinç, işlenmemiş alüminyum, otomotiv aksam ve parçaları, binek araçlar, kamış/pancar şekeri, haşere önleyiciler-dezenfektanlar vb. ve kabuklu hayvanlar olmuştur. 2022 yılı itibariyle ülkenin ithalatındaki başlıca ürünler: Ham petrol; taşkömürü; işlenmemiş ya da yarı-işlenmiş altın; petrol gazları; elmaslar; elektronik </w:t>
      </w:r>
      <w:proofErr w:type="gramStart"/>
      <w:r w:rsidRPr="00CA5CE8">
        <w:rPr>
          <w:rFonts w:ascii="Arial" w:hAnsi="Arial" w:cs="Arial"/>
          <w:sz w:val="24"/>
          <w:szCs w:val="24"/>
        </w:rPr>
        <w:t>entegre</w:t>
      </w:r>
      <w:proofErr w:type="gramEnd"/>
      <w:r w:rsidRPr="00CA5CE8">
        <w:rPr>
          <w:rFonts w:ascii="Arial" w:hAnsi="Arial" w:cs="Arial"/>
          <w:sz w:val="24"/>
          <w:szCs w:val="24"/>
        </w:rPr>
        <w:t xml:space="preserve"> devreler; telefon cihazları; işlenmiş petrol ürünleri; </w:t>
      </w:r>
      <w:proofErr w:type="spellStart"/>
      <w:r w:rsidRPr="00CA5CE8">
        <w:rPr>
          <w:rFonts w:ascii="Arial" w:hAnsi="Arial" w:cs="Arial"/>
          <w:sz w:val="24"/>
          <w:szCs w:val="24"/>
        </w:rPr>
        <w:t>palm</w:t>
      </w:r>
      <w:proofErr w:type="spellEnd"/>
      <w:r w:rsidRPr="00CA5CE8">
        <w:rPr>
          <w:rFonts w:ascii="Arial" w:hAnsi="Arial" w:cs="Arial"/>
          <w:sz w:val="24"/>
          <w:szCs w:val="24"/>
        </w:rPr>
        <w:t xml:space="preserve"> yağı; azot/fosfor/potasyum içeren mineral veya kimyasal gübreler ve işlenmemiş ya da yarı-işlenmiş gümüştür</w:t>
      </w:r>
      <w:r>
        <w:rPr>
          <w:rFonts w:ascii="Arial" w:hAnsi="Arial" w:cs="Arial"/>
          <w:sz w:val="24"/>
          <w:szCs w:val="24"/>
        </w:rPr>
        <w:t>.</w:t>
      </w:r>
    </w:p>
    <w:p w:rsidR="00CA5CE8" w:rsidRDefault="00CA5CE8" w:rsidP="00050752">
      <w:pPr>
        <w:jc w:val="both"/>
        <w:rPr>
          <w:rFonts w:ascii="Arial" w:hAnsi="Arial" w:cs="Arial"/>
          <w:sz w:val="24"/>
          <w:szCs w:val="24"/>
        </w:rPr>
      </w:pPr>
    </w:p>
    <w:p w:rsidR="00CA5CE8" w:rsidRDefault="00CA5CE8" w:rsidP="00CA5CE8">
      <w:pPr>
        <w:jc w:val="both"/>
        <w:rPr>
          <w:rFonts w:ascii="Arial" w:hAnsi="Arial" w:cs="Arial"/>
          <w:b/>
          <w:sz w:val="24"/>
          <w:szCs w:val="24"/>
        </w:rPr>
      </w:pPr>
      <w:r w:rsidRPr="00CA5CE8">
        <w:rPr>
          <w:rFonts w:ascii="Arial" w:hAnsi="Arial" w:cs="Arial"/>
          <w:b/>
          <w:sz w:val="24"/>
          <w:szCs w:val="24"/>
        </w:rPr>
        <w:lastRenderedPageBreak/>
        <w:t>Başlıca Ülkeler İtibarı ile Dış Ticaret</w:t>
      </w:r>
    </w:p>
    <w:p w:rsidR="00CA5CE8" w:rsidRDefault="00CA5CE8" w:rsidP="00CA5CE8">
      <w:pPr>
        <w:jc w:val="both"/>
        <w:rPr>
          <w:rFonts w:ascii="Arial" w:hAnsi="Arial" w:cs="Arial"/>
          <w:b/>
          <w:sz w:val="24"/>
          <w:szCs w:val="24"/>
        </w:rPr>
      </w:pPr>
      <w:r w:rsidRPr="00CA5CE8">
        <w:rPr>
          <w:rFonts w:ascii="Arial" w:hAnsi="Arial" w:cs="Arial"/>
          <w:b/>
          <w:sz w:val="24"/>
          <w:szCs w:val="24"/>
        </w:rPr>
        <w:t>İhracat</w:t>
      </w:r>
      <w:r>
        <w:rPr>
          <w:rFonts w:ascii="Arial" w:hAnsi="Arial" w:cs="Arial"/>
          <w:b/>
          <w:sz w:val="24"/>
          <w:szCs w:val="24"/>
        </w:rPr>
        <w:t>:</w:t>
      </w:r>
    </w:p>
    <w:p w:rsidR="00CA5CE8" w:rsidRDefault="00CA5CE8" w:rsidP="00CA5CE8">
      <w:pPr>
        <w:jc w:val="both"/>
        <w:rPr>
          <w:rFonts w:ascii="Arial" w:hAnsi="Arial" w:cs="Arial"/>
          <w:sz w:val="24"/>
          <w:szCs w:val="24"/>
        </w:rPr>
      </w:pPr>
      <w:r>
        <w:rPr>
          <w:rFonts w:ascii="Arial" w:hAnsi="Arial" w:cs="Arial"/>
          <w:noProof/>
          <w:sz w:val="24"/>
          <w:szCs w:val="24"/>
          <w:lang w:eastAsia="tr-TR"/>
        </w:rPr>
        <w:drawing>
          <wp:inline distT="0" distB="0" distL="0" distR="0">
            <wp:extent cx="6229350" cy="36957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5CE8" w:rsidRPr="00CA5CE8" w:rsidRDefault="00CA5CE8" w:rsidP="00CA5CE8">
      <w:pPr>
        <w:jc w:val="both"/>
        <w:rPr>
          <w:rFonts w:ascii="Arial" w:hAnsi="Arial" w:cs="Arial"/>
          <w:szCs w:val="24"/>
        </w:rPr>
      </w:pPr>
      <w:r w:rsidRPr="00CA5CE8">
        <w:rPr>
          <w:sz w:val="20"/>
        </w:rPr>
        <w:t xml:space="preserve">Kaynak: </w:t>
      </w:r>
      <w:proofErr w:type="spellStart"/>
      <w:r w:rsidRPr="00CA5CE8">
        <w:rPr>
          <w:sz w:val="20"/>
        </w:rPr>
        <w:t>Trademap</w:t>
      </w:r>
      <w:proofErr w:type="spellEnd"/>
    </w:p>
    <w:p w:rsidR="00CA5CE8" w:rsidRDefault="00CA5CE8" w:rsidP="00CA5CE8">
      <w:pPr>
        <w:jc w:val="both"/>
        <w:rPr>
          <w:rFonts w:ascii="Arial" w:hAnsi="Arial" w:cs="Arial"/>
          <w:b/>
          <w:sz w:val="24"/>
          <w:szCs w:val="24"/>
        </w:rPr>
      </w:pPr>
      <w:r w:rsidRPr="00CA5CE8">
        <w:rPr>
          <w:rFonts w:ascii="Arial" w:hAnsi="Arial" w:cs="Arial"/>
          <w:b/>
          <w:sz w:val="24"/>
          <w:szCs w:val="24"/>
        </w:rPr>
        <w:t xml:space="preserve"> İthalat:</w:t>
      </w:r>
    </w:p>
    <w:p w:rsidR="00CA5CE8" w:rsidRDefault="00CA5CE8" w:rsidP="00CA5CE8">
      <w:pPr>
        <w:jc w:val="both"/>
        <w:rPr>
          <w:rFonts w:ascii="Arial" w:hAnsi="Arial" w:cs="Arial"/>
          <w:b/>
          <w:sz w:val="24"/>
          <w:szCs w:val="24"/>
        </w:rPr>
      </w:pPr>
      <w:r>
        <w:rPr>
          <w:rFonts w:ascii="Arial" w:hAnsi="Arial" w:cs="Arial"/>
          <w:b/>
          <w:noProof/>
          <w:sz w:val="24"/>
          <w:szCs w:val="24"/>
          <w:lang w:eastAsia="tr-TR"/>
        </w:rPr>
        <w:drawing>
          <wp:inline distT="0" distB="0" distL="0" distR="0">
            <wp:extent cx="5829300" cy="3629025"/>
            <wp:effectExtent l="0" t="0" r="0"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5CE8" w:rsidRPr="00CA5CE8" w:rsidRDefault="00CA5CE8" w:rsidP="00CA5CE8">
      <w:pPr>
        <w:jc w:val="both"/>
        <w:rPr>
          <w:rFonts w:ascii="Arial" w:hAnsi="Arial" w:cs="Arial"/>
          <w:b/>
          <w:szCs w:val="24"/>
        </w:rPr>
      </w:pPr>
      <w:r w:rsidRPr="00CA5CE8">
        <w:rPr>
          <w:sz w:val="20"/>
        </w:rPr>
        <w:t xml:space="preserve">Kaynak: </w:t>
      </w:r>
      <w:proofErr w:type="spellStart"/>
      <w:r w:rsidRPr="00CA5CE8">
        <w:rPr>
          <w:sz w:val="20"/>
        </w:rPr>
        <w:t>Trademap</w:t>
      </w:r>
      <w:proofErr w:type="spellEnd"/>
    </w:p>
    <w:p w:rsidR="00CA5CE8" w:rsidRDefault="00CA5CE8" w:rsidP="00CA5CE8">
      <w:pPr>
        <w:jc w:val="both"/>
        <w:rPr>
          <w:rFonts w:ascii="Arial" w:hAnsi="Arial" w:cs="Arial"/>
          <w:b/>
          <w:sz w:val="24"/>
          <w:szCs w:val="24"/>
        </w:rPr>
      </w:pPr>
      <w:r>
        <w:rPr>
          <w:rFonts w:ascii="Arial" w:hAnsi="Arial" w:cs="Arial"/>
          <w:b/>
          <w:sz w:val="24"/>
          <w:szCs w:val="24"/>
        </w:rPr>
        <w:lastRenderedPageBreak/>
        <w:t>8.</w:t>
      </w:r>
      <w:r w:rsidRPr="00CA5CE8">
        <w:rPr>
          <w:rFonts w:ascii="Arial" w:hAnsi="Arial" w:cs="Arial"/>
          <w:b/>
          <w:sz w:val="24"/>
          <w:szCs w:val="24"/>
        </w:rPr>
        <w:t xml:space="preserve"> DOĞRUDAN YABANCI YATIRIMLAR</w:t>
      </w:r>
    </w:p>
    <w:p w:rsidR="00CA5CE8" w:rsidRPr="00CA5CE8" w:rsidRDefault="00CA5CE8" w:rsidP="00CA5CE8">
      <w:pPr>
        <w:jc w:val="both"/>
        <w:rPr>
          <w:rFonts w:ascii="Arial" w:hAnsi="Arial" w:cs="Arial"/>
          <w:sz w:val="24"/>
          <w:szCs w:val="24"/>
        </w:rPr>
      </w:pPr>
      <w:r w:rsidRPr="00CA5CE8">
        <w:rPr>
          <w:rFonts w:ascii="Arial" w:hAnsi="Arial" w:cs="Arial"/>
          <w:b/>
          <w:sz w:val="24"/>
          <w:szCs w:val="24"/>
        </w:rPr>
        <w:t>Doğrudan Yabancı Yatırımların Görünümü</w:t>
      </w:r>
      <w:r w:rsidRPr="00CA5CE8">
        <w:rPr>
          <w:rFonts w:ascii="Arial" w:hAnsi="Arial" w:cs="Arial"/>
          <w:b/>
          <w:sz w:val="24"/>
          <w:szCs w:val="24"/>
        </w:rPr>
        <w:cr/>
      </w:r>
      <w:r w:rsidRPr="00CA5CE8">
        <w:t xml:space="preserve"> </w:t>
      </w:r>
      <w:r w:rsidRPr="00CA5CE8">
        <w:rPr>
          <w:rFonts w:ascii="Arial" w:hAnsi="Arial" w:cs="Arial"/>
          <w:sz w:val="24"/>
          <w:szCs w:val="24"/>
        </w:rPr>
        <w:t>Hindistan’da yabancı yatırımcılar şirketin öz sermayesi, şirket</w:t>
      </w:r>
      <w:r>
        <w:rPr>
          <w:rFonts w:ascii="Arial" w:hAnsi="Arial" w:cs="Arial"/>
          <w:sz w:val="24"/>
          <w:szCs w:val="24"/>
        </w:rPr>
        <w:t xml:space="preserve"> kararlarında oy hakkı, zorunlu </w:t>
      </w:r>
      <w:r w:rsidRPr="00CA5CE8">
        <w:rPr>
          <w:rFonts w:ascii="Arial" w:hAnsi="Arial" w:cs="Arial"/>
          <w:sz w:val="24"/>
          <w:szCs w:val="24"/>
        </w:rPr>
        <w:t>devlet onaylamaları ve sermaye kontrolleri yollarıyla kontrol</w:t>
      </w:r>
      <w:r>
        <w:rPr>
          <w:rFonts w:ascii="Arial" w:hAnsi="Arial" w:cs="Arial"/>
          <w:sz w:val="24"/>
          <w:szCs w:val="24"/>
        </w:rPr>
        <w:t xml:space="preserve"> altında tutulmaktadır. 1991 </w:t>
      </w:r>
      <w:r w:rsidRPr="00CA5CE8">
        <w:rPr>
          <w:rFonts w:ascii="Arial" w:hAnsi="Arial" w:cs="Arial"/>
          <w:sz w:val="24"/>
          <w:szCs w:val="24"/>
        </w:rPr>
        <w:t>yılından bu yana devlet bu kısıtlamaları rahatlatan ekonomik</w:t>
      </w:r>
      <w:r>
        <w:rPr>
          <w:rFonts w:ascii="Arial" w:hAnsi="Arial" w:cs="Arial"/>
          <w:sz w:val="24"/>
          <w:szCs w:val="24"/>
        </w:rPr>
        <w:t xml:space="preserve"> reformlar uygulamaktadır. Buna </w:t>
      </w:r>
      <w:r w:rsidRPr="00CA5CE8">
        <w:rPr>
          <w:rFonts w:ascii="Arial" w:hAnsi="Arial" w:cs="Arial"/>
          <w:sz w:val="24"/>
          <w:szCs w:val="24"/>
        </w:rPr>
        <w:t>rağmen hala bir dizi karmaşık kısıtlamalar bulunmaktadı</w:t>
      </w:r>
      <w:r>
        <w:rPr>
          <w:rFonts w:ascii="Arial" w:hAnsi="Arial" w:cs="Arial"/>
          <w:sz w:val="24"/>
          <w:szCs w:val="24"/>
        </w:rPr>
        <w:t xml:space="preserve">r. Yabancı yatırımlar hala bazı </w:t>
      </w:r>
      <w:r w:rsidRPr="00CA5CE8">
        <w:rPr>
          <w:rFonts w:ascii="Arial" w:hAnsi="Arial" w:cs="Arial"/>
          <w:sz w:val="24"/>
          <w:szCs w:val="24"/>
        </w:rPr>
        <w:t>sektörlerde yasaktır.</w:t>
      </w:r>
    </w:p>
    <w:p w:rsidR="003C4024" w:rsidRDefault="00CA5CE8" w:rsidP="00CA5CE8">
      <w:pPr>
        <w:jc w:val="both"/>
        <w:rPr>
          <w:rFonts w:ascii="Arial" w:hAnsi="Arial" w:cs="Arial"/>
          <w:b/>
          <w:sz w:val="24"/>
          <w:szCs w:val="24"/>
        </w:rPr>
      </w:pPr>
      <w:r w:rsidRPr="00CA5CE8">
        <w:rPr>
          <w:rFonts w:ascii="Arial" w:hAnsi="Arial" w:cs="Arial"/>
          <w:sz w:val="24"/>
          <w:szCs w:val="24"/>
        </w:rPr>
        <w:t>1990’ların ortalarından itibaren Hindistan çoğu sektörde</w:t>
      </w:r>
      <w:r>
        <w:rPr>
          <w:rFonts w:ascii="Arial" w:hAnsi="Arial" w:cs="Arial"/>
          <w:sz w:val="24"/>
          <w:szCs w:val="24"/>
        </w:rPr>
        <w:t xml:space="preserve"> yabancı yatırıma otomatik onay </w:t>
      </w:r>
      <w:r w:rsidRPr="00CA5CE8">
        <w:rPr>
          <w:rFonts w:ascii="Arial" w:hAnsi="Arial" w:cs="Arial"/>
          <w:sz w:val="24"/>
          <w:szCs w:val="24"/>
        </w:rPr>
        <w:t>verilmesi uygulamasına izin vermiştir. Uygun hallerde, yabanc</w:t>
      </w:r>
      <w:r>
        <w:rPr>
          <w:rFonts w:ascii="Arial" w:hAnsi="Arial" w:cs="Arial"/>
          <w:sz w:val="24"/>
          <w:szCs w:val="24"/>
        </w:rPr>
        <w:t xml:space="preserve">ı yatırımcılar bu sayede devlet </w:t>
      </w:r>
      <w:r w:rsidRPr="00CA5CE8">
        <w:rPr>
          <w:rFonts w:ascii="Arial" w:hAnsi="Arial" w:cs="Arial"/>
          <w:sz w:val="24"/>
          <w:szCs w:val="24"/>
        </w:rPr>
        <w:t>lisansına ve onaylarına gerek duymadan basitçe Hindistan Merke</w:t>
      </w:r>
      <w:r>
        <w:rPr>
          <w:rFonts w:ascii="Arial" w:hAnsi="Arial" w:cs="Arial"/>
          <w:sz w:val="24"/>
          <w:szCs w:val="24"/>
        </w:rPr>
        <w:t xml:space="preserve">z Bankasına (RBI) yatırımlarını </w:t>
      </w:r>
      <w:r w:rsidRPr="00CA5CE8">
        <w:rPr>
          <w:rFonts w:ascii="Arial" w:hAnsi="Arial" w:cs="Arial"/>
          <w:sz w:val="24"/>
          <w:szCs w:val="24"/>
        </w:rPr>
        <w:t>bildirmektedirler. Diğer sektörlerde Yabancı Yatırımı Gelişti</w:t>
      </w:r>
      <w:r>
        <w:rPr>
          <w:rFonts w:ascii="Arial" w:hAnsi="Arial" w:cs="Arial"/>
          <w:sz w:val="24"/>
          <w:szCs w:val="24"/>
        </w:rPr>
        <w:t xml:space="preserve">rme Kurulu (FIPB) ya da Yabancı </w:t>
      </w:r>
      <w:r w:rsidRPr="00CA5CE8">
        <w:rPr>
          <w:rFonts w:ascii="Arial" w:hAnsi="Arial" w:cs="Arial"/>
          <w:sz w:val="24"/>
          <w:szCs w:val="24"/>
        </w:rPr>
        <w:t>Yatırım Kabine Komitesinden onay istenmektedir. De</w:t>
      </w:r>
      <w:r>
        <w:rPr>
          <w:rFonts w:ascii="Arial" w:hAnsi="Arial" w:cs="Arial"/>
          <w:sz w:val="24"/>
          <w:szCs w:val="24"/>
        </w:rPr>
        <w:t xml:space="preserve">vletin onay </w:t>
      </w:r>
      <w:proofErr w:type="gramStart"/>
      <w:r>
        <w:rPr>
          <w:rFonts w:ascii="Arial" w:hAnsi="Arial" w:cs="Arial"/>
          <w:sz w:val="24"/>
          <w:szCs w:val="24"/>
        </w:rPr>
        <w:t>prosedürlerine</w:t>
      </w:r>
      <w:proofErr w:type="gramEnd"/>
      <w:r>
        <w:rPr>
          <w:rFonts w:ascii="Arial" w:hAnsi="Arial" w:cs="Arial"/>
          <w:sz w:val="24"/>
          <w:szCs w:val="24"/>
        </w:rPr>
        <w:t xml:space="preserve"> göre </w:t>
      </w:r>
      <w:r w:rsidRPr="00CA5CE8">
        <w:rPr>
          <w:rFonts w:ascii="Arial" w:hAnsi="Arial" w:cs="Arial"/>
          <w:sz w:val="24"/>
          <w:szCs w:val="24"/>
        </w:rPr>
        <w:t>Hindistan’da ikamet etmeyen Hintliler ve tek markalı perakende satış dışındaki yabancı y</w:t>
      </w:r>
      <w:r>
        <w:rPr>
          <w:rFonts w:ascii="Arial" w:hAnsi="Arial" w:cs="Arial"/>
          <w:sz w:val="24"/>
          <w:szCs w:val="24"/>
        </w:rPr>
        <w:t xml:space="preserve">atırım </w:t>
      </w:r>
      <w:r w:rsidRPr="00CA5CE8">
        <w:rPr>
          <w:rFonts w:ascii="Arial" w:hAnsi="Arial" w:cs="Arial"/>
          <w:sz w:val="24"/>
          <w:szCs w:val="24"/>
        </w:rPr>
        <w:t>başvuruları Maliye Bakanlığının Ekonomik İşler Dairesince al</w:t>
      </w:r>
      <w:r>
        <w:rPr>
          <w:rFonts w:ascii="Arial" w:hAnsi="Arial" w:cs="Arial"/>
          <w:sz w:val="24"/>
          <w:szCs w:val="24"/>
        </w:rPr>
        <w:t xml:space="preserve">ınmaktadır. Hindistan’da ikamet </w:t>
      </w:r>
      <w:r w:rsidRPr="00CA5CE8">
        <w:rPr>
          <w:rFonts w:ascii="Arial" w:hAnsi="Arial" w:cs="Arial"/>
          <w:sz w:val="24"/>
          <w:szCs w:val="24"/>
        </w:rPr>
        <w:t>etmeyen Hintliler ve tek markalı perakende satış için yabancı ya</w:t>
      </w:r>
      <w:r>
        <w:rPr>
          <w:rFonts w:ascii="Arial" w:hAnsi="Arial" w:cs="Arial"/>
          <w:sz w:val="24"/>
          <w:szCs w:val="24"/>
        </w:rPr>
        <w:t xml:space="preserve">tırım başvuruları ise Sanayi ve </w:t>
      </w:r>
      <w:r w:rsidRPr="00CA5CE8">
        <w:rPr>
          <w:rFonts w:ascii="Arial" w:hAnsi="Arial" w:cs="Arial"/>
          <w:sz w:val="24"/>
          <w:szCs w:val="24"/>
        </w:rPr>
        <w:t>Ticaret Bakanlığının Sanayi Politikası Geliştirme Dairesince a</w:t>
      </w:r>
      <w:r w:rsidR="003C4024">
        <w:rPr>
          <w:rFonts w:ascii="Arial" w:hAnsi="Arial" w:cs="Arial"/>
          <w:sz w:val="24"/>
          <w:szCs w:val="24"/>
        </w:rPr>
        <w:t xml:space="preserve">lınmaktadır. Kurallar sanayiden </w:t>
      </w:r>
      <w:r w:rsidRPr="00CA5CE8">
        <w:rPr>
          <w:rFonts w:ascii="Arial" w:hAnsi="Arial" w:cs="Arial"/>
          <w:sz w:val="24"/>
          <w:szCs w:val="24"/>
        </w:rPr>
        <w:t>sanayiye sıkça değişiklik göstermektedir.</w:t>
      </w:r>
      <w:r w:rsidRPr="00CA5CE8">
        <w:rPr>
          <w:rFonts w:ascii="Arial" w:hAnsi="Arial" w:cs="Arial"/>
          <w:b/>
          <w:sz w:val="24"/>
          <w:szCs w:val="24"/>
        </w:rPr>
        <w:t xml:space="preserve"> </w:t>
      </w:r>
    </w:p>
    <w:p w:rsidR="003C4024" w:rsidRDefault="003C4024" w:rsidP="00CA5CE8">
      <w:pPr>
        <w:jc w:val="both"/>
        <w:rPr>
          <w:rFonts w:ascii="Arial" w:hAnsi="Arial" w:cs="Arial"/>
          <w:b/>
          <w:sz w:val="24"/>
          <w:szCs w:val="24"/>
        </w:rPr>
      </w:pPr>
    </w:p>
    <w:p w:rsidR="003C4024" w:rsidRDefault="003C4024" w:rsidP="00CA5CE8">
      <w:pPr>
        <w:jc w:val="both"/>
        <w:rPr>
          <w:rFonts w:ascii="Arial" w:hAnsi="Arial" w:cs="Arial"/>
          <w:b/>
          <w:sz w:val="24"/>
          <w:szCs w:val="24"/>
        </w:rPr>
      </w:pPr>
      <w:r w:rsidRPr="003C4024">
        <w:rPr>
          <w:rFonts w:ascii="Arial" w:hAnsi="Arial" w:cs="Arial"/>
          <w:b/>
          <w:sz w:val="24"/>
          <w:szCs w:val="24"/>
        </w:rPr>
        <w:t xml:space="preserve">Yabancı Yatırım Mevzuatı </w:t>
      </w:r>
    </w:p>
    <w:p w:rsidR="003C4024" w:rsidRPr="003C4024" w:rsidRDefault="003C4024" w:rsidP="003C4024">
      <w:pPr>
        <w:jc w:val="both"/>
        <w:rPr>
          <w:rFonts w:ascii="Arial" w:hAnsi="Arial" w:cs="Arial"/>
          <w:sz w:val="24"/>
          <w:szCs w:val="24"/>
        </w:rPr>
      </w:pPr>
      <w:r w:rsidRPr="003C4024">
        <w:rPr>
          <w:rFonts w:ascii="Arial" w:hAnsi="Arial" w:cs="Arial"/>
          <w:sz w:val="24"/>
          <w:szCs w:val="24"/>
        </w:rPr>
        <w:t>Serbestleşmeye doğru bir gidiş olmasına rağmen, Hindis</w:t>
      </w:r>
      <w:r>
        <w:rPr>
          <w:rFonts w:ascii="Arial" w:hAnsi="Arial" w:cs="Arial"/>
          <w:sz w:val="24"/>
          <w:szCs w:val="24"/>
        </w:rPr>
        <w:t xml:space="preserve">tan’da yatırım yapma süreci her </w:t>
      </w:r>
      <w:r w:rsidRPr="003C4024">
        <w:rPr>
          <w:rFonts w:ascii="Arial" w:hAnsi="Arial" w:cs="Arial"/>
          <w:sz w:val="24"/>
          <w:szCs w:val="24"/>
        </w:rPr>
        <w:t>zaman şeffaf değildir. 2005 yılında yeni yapılacak yabancı yatırımlar üz</w:t>
      </w:r>
      <w:r>
        <w:rPr>
          <w:rFonts w:ascii="Arial" w:hAnsi="Arial" w:cs="Arial"/>
          <w:sz w:val="24"/>
          <w:szCs w:val="24"/>
        </w:rPr>
        <w:t xml:space="preserve">erindeki kısıtlamalar </w:t>
      </w:r>
      <w:r w:rsidRPr="003C4024">
        <w:rPr>
          <w:rFonts w:ascii="Arial" w:hAnsi="Arial" w:cs="Arial"/>
          <w:sz w:val="24"/>
          <w:szCs w:val="24"/>
        </w:rPr>
        <w:t>kısmen azaltılmıştır. Getirilen yeni kurallarla eski ortak girişimle</w:t>
      </w:r>
      <w:r>
        <w:rPr>
          <w:rFonts w:ascii="Arial" w:hAnsi="Arial" w:cs="Arial"/>
          <w:sz w:val="24"/>
          <w:szCs w:val="24"/>
        </w:rPr>
        <w:t xml:space="preserve">r üzerindeki kısıtlamalar devam </w:t>
      </w:r>
      <w:r w:rsidRPr="003C4024">
        <w:rPr>
          <w:rFonts w:ascii="Arial" w:hAnsi="Arial" w:cs="Arial"/>
          <w:sz w:val="24"/>
          <w:szCs w:val="24"/>
        </w:rPr>
        <w:t xml:space="preserve">etmekte fakat yeni yatırımcılar kendi ticari koşulları hakkında </w:t>
      </w:r>
      <w:r>
        <w:rPr>
          <w:rFonts w:ascii="Arial" w:hAnsi="Arial" w:cs="Arial"/>
          <w:sz w:val="24"/>
          <w:szCs w:val="24"/>
        </w:rPr>
        <w:t xml:space="preserve">müzakere yapabilmektedir. Yerel </w:t>
      </w:r>
      <w:r w:rsidRPr="003C4024">
        <w:rPr>
          <w:rFonts w:ascii="Arial" w:hAnsi="Arial" w:cs="Arial"/>
          <w:sz w:val="24"/>
          <w:szCs w:val="24"/>
        </w:rPr>
        <w:t>firmanın, yabancı ortağının iş stratejisini kısıtlama yetkisi azal</w:t>
      </w:r>
      <w:r>
        <w:rPr>
          <w:rFonts w:ascii="Arial" w:hAnsi="Arial" w:cs="Arial"/>
          <w:sz w:val="24"/>
          <w:szCs w:val="24"/>
        </w:rPr>
        <w:t xml:space="preserve">tılmıştır, ancak şirketin elden </w:t>
      </w:r>
      <w:r w:rsidRPr="003C4024">
        <w:rPr>
          <w:rFonts w:ascii="Arial" w:hAnsi="Arial" w:cs="Arial"/>
          <w:sz w:val="24"/>
          <w:szCs w:val="24"/>
        </w:rPr>
        <w:t xml:space="preserve">çıkarılma stratejisi ve tasfiyesine ilişkin </w:t>
      </w:r>
      <w:proofErr w:type="gramStart"/>
      <w:r w:rsidRPr="003C4024">
        <w:rPr>
          <w:rFonts w:ascii="Arial" w:hAnsi="Arial" w:cs="Arial"/>
          <w:sz w:val="24"/>
          <w:szCs w:val="24"/>
        </w:rPr>
        <w:t>prosedürler</w:t>
      </w:r>
      <w:proofErr w:type="gramEnd"/>
      <w:r w:rsidRPr="003C4024">
        <w:rPr>
          <w:rFonts w:ascii="Arial" w:hAnsi="Arial" w:cs="Arial"/>
          <w:sz w:val="24"/>
          <w:szCs w:val="24"/>
        </w:rPr>
        <w:t xml:space="preserve"> mevcut ortak</w:t>
      </w:r>
      <w:r>
        <w:rPr>
          <w:rFonts w:ascii="Arial" w:hAnsi="Arial" w:cs="Arial"/>
          <w:sz w:val="24"/>
          <w:szCs w:val="24"/>
        </w:rPr>
        <w:t xml:space="preserve">lıklar için hala belirsizliğini </w:t>
      </w:r>
      <w:r w:rsidRPr="003C4024">
        <w:rPr>
          <w:rFonts w:ascii="Arial" w:hAnsi="Arial" w:cs="Arial"/>
          <w:sz w:val="24"/>
          <w:szCs w:val="24"/>
        </w:rPr>
        <w:t>korumaktadır.</w:t>
      </w:r>
    </w:p>
    <w:p w:rsidR="003C4024" w:rsidRPr="003C4024" w:rsidRDefault="003C4024" w:rsidP="003C4024">
      <w:pPr>
        <w:jc w:val="both"/>
        <w:rPr>
          <w:rFonts w:ascii="Arial" w:hAnsi="Arial" w:cs="Arial"/>
          <w:sz w:val="24"/>
          <w:szCs w:val="24"/>
        </w:rPr>
      </w:pPr>
      <w:r w:rsidRPr="003C4024">
        <w:rPr>
          <w:rFonts w:ascii="Arial" w:hAnsi="Arial" w:cs="Arial"/>
          <w:sz w:val="24"/>
          <w:szCs w:val="24"/>
        </w:rPr>
        <w:t>Gayrimenkul, çok markalı perakendecilik, hukuk hizmetleri, güve</w:t>
      </w:r>
      <w:r>
        <w:rPr>
          <w:rFonts w:ascii="Arial" w:hAnsi="Arial" w:cs="Arial"/>
          <w:sz w:val="24"/>
          <w:szCs w:val="24"/>
        </w:rPr>
        <w:t xml:space="preserve">nlik hizmetleri, nükleer enerji </w:t>
      </w:r>
      <w:r w:rsidRPr="003C4024">
        <w:rPr>
          <w:rFonts w:ascii="Arial" w:hAnsi="Arial" w:cs="Arial"/>
          <w:sz w:val="24"/>
          <w:szCs w:val="24"/>
        </w:rPr>
        <w:t xml:space="preserve">ve demiryolları gibi birçok alanda ve alt sektörlerinde yabancı </w:t>
      </w:r>
      <w:r>
        <w:rPr>
          <w:rFonts w:ascii="Arial" w:hAnsi="Arial" w:cs="Arial"/>
          <w:sz w:val="24"/>
          <w:szCs w:val="24"/>
        </w:rPr>
        <w:t xml:space="preserve">yatırımlar yasaklanmıştır. Uydu </w:t>
      </w:r>
      <w:r w:rsidRPr="003C4024">
        <w:rPr>
          <w:rFonts w:ascii="Arial" w:hAnsi="Arial" w:cs="Arial"/>
          <w:sz w:val="24"/>
          <w:szCs w:val="24"/>
        </w:rPr>
        <w:t>kentler gibi bazı gayrimenkul projelerine yabancı yatırım izni ve</w:t>
      </w:r>
      <w:r>
        <w:rPr>
          <w:rFonts w:ascii="Arial" w:hAnsi="Arial" w:cs="Arial"/>
          <w:sz w:val="24"/>
          <w:szCs w:val="24"/>
        </w:rPr>
        <w:t xml:space="preserve">rilebilmektedir. Hindistan’da </w:t>
      </w:r>
      <w:r w:rsidRPr="003C4024">
        <w:rPr>
          <w:rFonts w:ascii="Arial" w:hAnsi="Arial" w:cs="Arial"/>
          <w:sz w:val="24"/>
          <w:szCs w:val="24"/>
        </w:rPr>
        <w:t xml:space="preserve">ikamet etmeyen Hintliler konut ve gayrimenkullere yatırım </w:t>
      </w:r>
      <w:r>
        <w:rPr>
          <w:rFonts w:ascii="Arial" w:hAnsi="Arial" w:cs="Arial"/>
          <w:sz w:val="24"/>
          <w:szCs w:val="24"/>
        </w:rPr>
        <w:t xml:space="preserve">yapabilmektedir. Ayrıca yabancı </w:t>
      </w:r>
      <w:r w:rsidRPr="003C4024">
        <w:rPr>
          <w:rFonts w:ascii="Arial" w:hAnsi="Arial" w:cs="Arial"/>
          <w:sz w:val="24"/>
          <w:szCs w:val="24"/>
        </w:rPr>
        <w:t>yatırımın %49 ile sınırlı olduğu sivil havacılık ş</w:t>
      </w:r>
      <w:r>
        <w:rPr>
          <w:rFonts w:ascii="Arial" w:hAnsi="Arial" w:cs="Arial"/>
          <w:sz w:val="24"/>
          <w:szCs w:val="24"/>
        </w:rPr>
        <w:t xml:space="preserve">irketlerinin %100’ünü ellerinde </w:t>
      </w:r>
      <w:r w:rsidRPr="003C4024">
        <w:rPr>
          <w:rFonts w:ascii="Arial" w:hAnsi="Arial" w:cs="Arial"/>
          <w:sz w:val="24"/>
          <w:szCs w:val="24"/>
        </w:rPr>
        <w:t>tutabilmektedirler. Hindistan’da ikamet etmeyen Hintlilerin çift</w:t>
      </w:r>
      <w:r>
        <w:rPr>
          <w:rFonts w:ascii="Arial" w:hAnsi="Arial" w:cs="Arial"/>
          <w:sz w:val="24"/>
          <w:szCs w:val="24"/>
        </w:rPr>
        <w:t xml:space="preserve">e vatandaşlık hakları vardır ve </w:t>
      </w:r>
      <w:r w:rsidRPr="003C4024">
        <w:rPr>
          <w:rFonts w:ascii="Arial" w:hAnsi="Arial" w:cs="Arial"/>
          <w:sz w:val="24"/>
          <w:szCs w:val="24"/>
        </w:rPr>
        <w:t>Hindistan vatandaşı gibi yatırım yapabilmektedirler. Yurt</w:t>
      </w:r>
      <w:r>
        <w:rPr>
          <w:rFonts w:ascii="Arial" w:hAnsi="Arial" w:cs="Arial"/>
          <w:sz w:val="24"/>
          <w:szCs w:val="24"/>
        </w:rPr>
        <w:t xml:space="preserve">dışına sermaye çıkışı Hindistan </w:t>
      </w:r>
      <w:r w:rsidRPr="003C4024">
        <w:rPr>
          <w:rFonts w:ascii="Arial" w:hAnsi="Arial" w:cs="Arial"/>
          <w:sz w:val="24"/>
          <w:szCs w:val="24"/>
        </w:rPr>
        <w:t>vatandaşları için giderek kolaylaşmaktadır.</w:t>
      </w:r>
    </w:p>
    <w:p w:rsidR="003C4024" w:rsidRDefault="003C4024" w:rsidP="003C4024">
      <w:pPr>
        <w:jc w:val="both"/>
        <w:rPr>
          <w:rFonts w:ascii="Arial" w:hAnsi="Arial" w:cs="Arial"/>
          <w:b/>
          <w:sz w:val="24"/>
          <w:szCs w:val="24"/>
        </w:rPr>
      </w:pPr>
      <w:r w:rsidRPr="003C4024">
        <w:rPr>
          <w:rFonts w:ascii="Arial" w:hAnsi="Arial" w:cs="Arial"/>
          <w:sz w:val="24"/>
          <w:szCs w:val="24"/>
        </w:rPr>
        <w:t>Hindistan’ın özelleştirme politikası kapsamında yabancı yatırımcılar devlet malla</w:t>
      </w:r>
      <w:r>
        <w:rPr>
          <w:rFonts w:ascii="Arial" w:hAnsi="Arial" w:cs="Arial"/>
          <w:sz w:val="24"/>
          <w:szCs w:val="24"/>
        </w:rPr>
        <w:t xml:space="preserve">rının </w:t>
      </w:r>
      <w:r w:rsidRPr="003C4024">
        <w:rPr>
          <w:rFonts w:ascii="Arial" w:hAnsi="Arial" w:cs="Arial"/>
          <w:sz w:val="24"/>
          <w:szCs w:val="24"/>
        </w:rPr>
        <w:t>satışlarına teklif verebilmektedirler. Bu özelleştirme po</w:t>
      </w:r>
      <w:r>
        <w:rPr>
          <w:rFonts w:ascii="Arial" w:hAnsi="Arial" w:cs="Arial"/>
          <w:sz w:val="24"/>
          <w:szCs w:val="24"/>
        </w:rPr>
        <w:t xml:space="preserve">litikası 2004 yılındaki hükümet </w:t>
      </w:r>
      <w:r w:rsidRPr="003C4024">
        <w:rPr>
          <w:rFonts w:ascii="Arial" w:hAnsi="Arial" w:cs="Arial"/>
          <w:sz w:val="24"/>
          <w:szCs w:val="24"/>
        </w:rPr>
        <w:t>değişikliği ile hızını kaybetmiştir. Yabancı yatırımcılar yatır</w:t>
      </w:r>
      <w:r>
        <w:rPr>
          <w:rFonts w:ascii="Arial" w:hAnsi="Arial" w:cs="Arial"/>
          <w:sz w:val="24"/>
          <w:szCs w:val="24"/>
        </w:rPr>
        <w:t xml:space="preserve">ımlarının başında ya da yatırım </w:t>
      </w:r>
      <w:r w:rsidRPr="003C4024">
        <w:rPr>
          <w:rFonts w:ascii="Arial" w:hAnsi="Arial" w:cs="Arial"/>
          <w:sz w:val="24"/>
          <w:szCs w:val="24"/>
        </w:rPr>
        <w:t>yapıldıktan sonra Hindistan vatandaşı gibi muamele görmektedirler. Lisans gerektiren</w:t>
      </w:r>
      <w:r>
        <w:rPr>
          <w:rFonts w:ascii="Arial" w:hAnsi="Arial" w:cs="Arial"/>
          <w:sz w:val="24"/>
          <w:szCs w:val="24"/>
        </w:rPr>
        <w:t xml:space="preserve"> </w:t>
      </w:r>
      <w:r w:rsidRPr="003C4024">
        <w:rPr>
          <w:rFonts w:ascii="Arial" w:hAnsi="Arial" w:cs="Arial"/>
          <w:sz w:val="24"/>
          <w:szCs w:val="24"/>
        </w:rPr>
        <w:t xml:space="preserve">sektörlerde yabancı yatırımcılara </w:t>
      </w:r>
      <w:proofErr w:type="gramStart"/>
      <w:r w:rsidRPr="003C4024">
        <w:rPr>
          <w:rFonts w:ascii="Arial" w:hAnsi="Arial" w:cs="Arial"/>
          <w:sz w:val="24"/>
          <w:szCs w:val="24"/>
        </w:rPr>
        <w:t>prosedürlerde</w:t>
      </w:r>
      <w:proofErr w:type="gramEnd"/>
      <w:r w:rsidRPr="003C4024">
        <w:rPr>
          <w:rFonts w:ascii="Arial" w:hAnsi="Arial" w:cs="Arial"/>
          <w:sz w:val="24"/>
          <w:szCs w:val="24"/>
        </w:rPr>
        <w:t xml:space="preserve"> ayrımcılık yapılmamaktadır. Buna rağmen bazı</w:t>
      </w:r>
      <w:r>
        <w:rPr>
          <w:rFonts w:ascii="Arial" w:hAnsi="Arial" w:cs="Arial"/>
          <w:sz w:val="24"/>
          <w:szCs w:val="24"/>
        </w:rPr>
        <w:t xml:space="preserve"> </w:t>
      </w:r>
      <w:r w:rsidRPr="003C4024">
        <w:rPr>
          <w:rFonts w:ascii="Arial" w:hAnsi="Arial" w:cs="Arial"/>
          <w:sz w:val="24"/>
          <w:szCs w:val="24"/>
        </w:rPr>
        <w:t>tüketim malı sektörlerinde ihracat zorunlulukları ve yerli girdi kullanma zorunluluğu yabancı</w:t>
      </w:r>
      <w:r>
        <w:rPr>
          <w:rFonts w:ascii="Arial" w:hAnsi="Arial" w:cs="Arial"/>
          <w:sz w:val="24"/>
          <w:szCs w:val="24"/>
        </w:rPr>
        <w:t xml:space="preserve"> </w:t>
      </w:r>
      <w:r w:rsidRPr="003C4024">
        <w:rPr>
          <w:rFonts w:ascii="Arial" w:hAnsi="Arial" w:cs="Arial"/>
          <w:sz w:val="24"/>
          <w:szCs w:val="24"/>
        </w:rPr>
        <w:t>yatırımcılara kabul ettirilmiştir.</w:t>
      </w:r>
      <w:r w:rsidRPr="003C4024">
        <w:rPr>
          <w:rFonts w:ascii="Arial" w:hAnsi="Arial" w:cs="Arial"/>
          <w:b/>
          <w:sz w:val="24"/>
          <w:szCs w:val="24"/>
        </w:rPr>
        <w:t xml:space="preserve"> </w:t>
      </w:r>
    </w:p>
    <w:p w:rsidR="00050752" w:rsidRDefault="00050752" w:rsidP="003C4024">
      <w:pPr>
        <w:jc w:val="both"/>
        <w:rPr>
          <w:rFonts w:ascii="Arial" w:hAnsi="Arial" w:cs="Arial"/>
          <w:b/>
          <w:sz w:val="24"/>
          <w:szCs w:val="24"/>
        </w:rPr>
      </w:pPr>
      <w:r w:rsidRPr="00050752">
        <w:rPr>
          <w:rFonts w:ascii="Arial" w:hAnsi="Arial" w:cs="Arial"/>
          <w:b/>
          <w:sz w:val="24"/>
          <w:szCs w:val="24"/>
        </w:rPr>
        <w:lastRenderedPageBreak/>
        <w:t>9. TÜRKİYE ile TİCARET</w:t>
      </w:r>
      <w:r>
        <w:rPr>
          <w:rFonts w:ascii="Arial" w:hAnsi="Arial" w:cs="Arial"/>
          <w:b/>
          <w:sz w:val="24"/>
          <w:szCs w:val="24"/>
        </w:rPr>
        <w:t>:</w:t>
      </w:r>
    </w:p>
    <w:p w:rsidR="00050752" w:rsidRDefault="00050752" w:rsidP="003C4024">
      <w:pPr>
        <w:jc w:val="both"/>
        <w:rPr>
          <w:rFonts w:ascii="Arial" w:hAnsi="Arial" w:cs="Arial"/>
          <w:sz w:val="24"/>
          <w:szCs w:val="24"/>
        </w:rPr>
      </w:pPr>
      <w:r w:rsidRPr="00050752">
        <w:rPr>
          <w:rFonts w:ascii="Arial" w:hAnsi="Arial" w:cs="Arial"/>
          <w:sz w:val="24"/>
          <w:szCs w:val="24"/>
        </w:rPr>
        <w:t>Genel Durum</w:t>
      </w:r>
    </w:p>
    <w:p w:rsidR="00050752" w:rsidRDefault="00050752" w:rsidP="003C4024">
      <w:pPr>
        <w:jc w:val="both"/>
        <w:rPr>
          <w:rFonts w:ascii="Arial" w:hAnsi="Arial" w:cs="Arial"/>
          <w:sz w:val="24"/>
          <w:szCs w:val="24"/>
        </w:rPr>
      </w:pPr>
      <w:r w:rsidRPr="00050752">
        <w:rPr>
          <w:rFonts w:ascii="Arial" w:hAnsi="Arial" w:cs="Arial"/>
          <w:sz w:val="24"/>
          <w:szCs w:val="24"/>
        </w:rPr>
        <w:t>Türkiye ile Hindistan arasında ticaret hacminde gözlenen artışa rağmen, ticaret dengesi sürekli olarak ülkemiz aleyhine sonuçlanmaktadır. İki ülke arasında en yüksek ticaret hacmine 2022 yılı içerisinde ulaşılmıştır. 2022 yılında ihracatımız, bir önceki yıla göre %25,5 oranında artarak 1,6 milyar dolar olmuştur. Hindistan'dan ithalatımız ise 2022 yılında bir önceki yıla göre %34,8 oranında artarak 10,7 milyar dolara yükselmiştir.</w:t>
      </w:r>
    </w:p>
    <w:p w:rsidR="00050752" w:rsidRDefault="00050752" w:rsidP="003C4024">
      <w:pPr>
        <w:jc w:val="both"/>
        <w:rPr>
          <w:rFonts w:ascii="Arial" w:hAnsi="Arial" w:cs="Arial"/>
          <w:sz w:val="24"/>
          <w:szCs w:val="24"/>
        </w:rPr>
      </w:pPr>
    </w:p>
    <w:p w:rsidR="001E6B22" w:rsidRDefault="001E6B22" w:rsidP="003C4024">
      <w:pPr>
        <w:jc w:val="both"/>
        <w:rPr>
          <w:rFonts w:ascii="Arial" w:hAnsi="Arial" w:cs="Arial"/>
          <w:b/>
          <w:sz w:val="24"/>
          <w:szCs w:val="24"/>
        </w:rPr>
      </w:pPr>
    </w:p>
    <w:p w:rsidR="001E6B22" w:rsidRDefault="001E6B22" w:rsidP="003C4024">
      <w:pPr>
        <w:jc w:val="both"/>
        <w:rPr>
          <w:rFonts w:ascii="Arial" w:hAnsi="Arial" w:cs="Arial"/>
          <w:b/>
          <w:sz w:val="24"/>
          <w:szCs w:val="24"/>
        </w:rPr>
      </w:pPr>
    </w:p>
    <w:p w:rsidR="00050752" w:rsidRDefault="00050752" w:rsidP="003C4024">
      <w:pPr>
        <w:jc w:val="both"/>
        <w:rPr>
          <w:rFonts w:ascii="Arial" w:hAnsi="Arial" w:cs="Arial"/>
          <w:sz w:val="24"/>
          <w:szCs w:val="24"/>
        </w:rPr>
      </w:pPr>
      <w:r w:rsidRPr="001E6B22">
        <w:rPr>
          <w:rFonts w:ascii="Arial" w:hAnsi="Arial" w:cs="Arial"/>
          <w:b/>
          <w:sz w:val="24"/>
          <w:szCs w:val="24"/>
        </w:rPr>
        <w:t>Türkiye-Hindistan Dış Ticareti</w:t>
      </w:r>
      <w:r>
        <w:rPr>
          <w:rFonts w:ascii="Arial" w:hAnsi="Arial" w:cs="Arial"/>
          <w:sz w:val="24"/>
          <w:szCs w:val="24"/>
        </w:rPr>
        <w:t>:</w:t>
      </w:r>
    </w:p>
    <w:p w:rsidR="00050752" w:rsidRPr="00050752" w:rsidRDefault="00050752" w:rsidP="003C4024">
      <w:pPr>
        <w:jc w:val="both"/>
        <w:rPr>
          <w:rFonts w:ascii="Arial" w:hAnsi="Arial" w:cs="Arial"/>
          <w:sz w:val="24"/>
          <w:szCs w:val="24"/>
        </w:rPr>
      </w:pPr>
      <w:r>
        <w:rPr>
          <w:rFonts w:ascii="Arial" w:hAnsi="Arial" w:cs="Arial"/>
          <w:noProof/>
          <w:sz w:val="24"/>
          <w:szCs w:val="24"/>
          <w:lang w:eastAsia="tr-TR"/>
        </w:rPr>
        <w:drawing>
          <wp:inline distT="0" distB="0" distL="0" distR="0">
            <wp:extent cx="5934075" cy="3914775"/>
            <wp:effectExtent l="0" t="0" r="9525"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50752">
        <w:rPr>
          <w:rFonts w:ascii="Arial" w:hAnsi="Arial" w:cs="Arial"/>
          <w:sz w:val="24"/>
          <w:szCs w:val="24"/>
        </w:rPr>
        <w:cr/>
      </w:r>
    </w:p>
    <w:p w:rsidR="008477EA" w:rsidRDefault="008477EA" w:rsidP="00050752">
      <w:pPr>
        <w:rPr>
          <w:rFonts w:ascii="Arial" w:hAnsi="Arial" w:cs="Arial"/>
          <w:b/>
          <w:sz w:val="24"/>
          <w:szCs w:val="24"/>
        </w:rPr>
      </w:pPr>
      <w:r w:rsidRPr="00CA5CE8">
        <w:rPr>
          <w:rFonts w:ascii="Arial" w:hAnsi="Arial" w:cs="Arial"/>
          <w:b/>
          <w:sz w:val="24"/>
          <w:szCs w:val="24"/>
        </w:rPr>
        <w:br w:type="page"/>
      </w:r>
    </w:p>
    <w:p w:rsidR="001E6B22" w:rsidRPr="003C4024" w:rsidRDefault="001E6B22" w:rsidP="00050752">
      <w:pPr>
        <w:rPr>
          <w:rFonts w:ascii="Arial" w:hAnsi="Arial" w:cs="Arial"/>
          <w:sz w:val="24"/>
          <w:szCs w:val="24"/>
        </w:rPr>
      </w:pPr>
    </w:p>
    <w:p w:rsidR="007101AF" w:rsidRPr="00C77C4E" w:rsidRDefault="007101AF" w:rsidP="007101AF">
      <w:pPr>
        <w:jc w:val="both"/>
        <w:rPr>
          <w:rFonts w:ascii="Arial" w:hAnsi="Arial" w:cs="Arial"/>
          <w:sz w:val="24"/>
          <w:szCs w:val="28"/>
        </w:rPr>
      </w:pPr>
    </w:p>
    <w:sectPr w:rsidR="007101AF" w:rsidRPr="00C77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4E"/>
    <w:rsid w:val="00050752"/>
    <w:rsid w:val="001E6B22"/>
    <w:rsid w:val="003C4024"/>
    <w:rsid w:val="00423087"/>
    <w:rsid w:val="004B6504"/>
    <w:rsid w:val="00637110"/>
    <w:rsid w:val="007101AF"/>
    <w:rsid w:val="008477EA"/>
    <w:rsid w:val="00C77C4E"/>
    <w:rsid w:val="00CA5CE8"/>
    <w:rsid w:val="00CD6487"/>
    <w:rsid w:val="00D62B8D"/>
    <w:rsid w:val="00E9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0DF6"/>
  <w15:chartTrackingRefBased/>
  <w15:docId w15:val="{37D0C61D-763E-4B9F-A660-B43476B0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t>Hindistan'ın Dış Ticaret Göstergeleri (milyar dolar)</a:t>
            </a:r>
            <a:endParaRPr lang="tr-TR" b="1"/>
          </a:p>
        </c:rich>
      </c:tx>
      <c:layout>
        <c:manualLayout>
          <c:xMode val="edge"/>
          <c:yMode val="edge"/>
          <c:x val="0.22796643138054346"/>
          <c:y val="3.72250423011844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100</c:v>
                </c:pt>
                <c:pt idx="1">
                  <c:v>220</c:v>
                </c:pt>
                <c:pt idx="2">
                  <c:v>264</c:v>
                </c:pt>
                <c:pt idx="3">
                  <c:v>275</c:v>
                </c:pt>
                <c:pt idx="4">
                  <c:v>395</c:v>
                </c:pt>
                <c:pt idx="5">
                  <c:v>453</c:v>
                </c:pt>
              </c:numCache>
            </c:numRef>
          </c:val>
          <c:extLst>
            <c:ext xmlns:c16="http://schemas.microsoft.com/office/drawing/2014/chart" uri="{C3380CC4-5D6E-409C-BE32-E72D297353CC}">
              <c16:uniqueId val="{00000000-4EA9-4366-AA5E-F5839E3BD35C}"/>
            </c:ext>
          </c:extLst>
        </c:ser>
        <c:ser>
          <c:idx val="1"/>
          <c:order val="1"/>
          <c:tx>
            <c:strRef>
              <c:f>Sayfa1!$C$1</c:f>
              <c:strCache>
                <c:ptCount val="1"/>
                <c:pt idx="0">
                  <c:v>İthalat</c:v>
                </c:pt>
              </c:strCache>
            </c:strRef>
          </c:tx>
          <c:spPr>
            <a:solidFill>
              <a:schemeClr val="accent2"/>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141</c:v>
                </c:pt>
                <c:pt idx="1">
                  <c:v>350</c:v>
                </c:pt>
                <c:pt idx="2">
                  <c:v>391</c:v>
                </c:pt>
                <c:pt idx="3">
                  <c:v>368</c:v>
                </c:pt>
                <c:pt idx="4">
                  <c:v>570</c:v>
                </c:pt>
                <c:pt idx="5">
                  <c:v>733</c:v>
                </c:pt>
              </c:numCache>
            </c:numRef>
          </c:val>
          <c:extLst>
            <c:ext xmlns:c16="http://schemas.microsoft.com/office/drawing/2014/chart" uri="{C3380CC4-5D6E-409C-BE32-E72D297353CC}">
              <c16:uniqueId val="{00000001-4EA9-4366-AA5E-F5839E3BD35C}"/>
            </c:ext>
          </c:extLst>
        </c:ser>
        <c:ser>
          <c:idx val="2"/>
          <c:order val="2"/>
          <c:tx>
            <c:strRef>
              <c:f>Sayfa1!$D$1</c:f>
              <c:strCache>
                <c:ptCount val="1"/>
                <c:pt idx="0">
                  <c:v>Hacim </c:v>
                </c:pt>
              </c:strCache>
            </c:strRef>
          </c:tx>
          <c:spPr>
            <a:solidFill>
              <a:schemeClr val="accent3"/>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241</c:v>
                </c:pt>
                <c:pt idx="1">
                  <c:v>570</c:v>
                </c:pt>
                <c:pt idx="2">
                  <c:v>655</c:v>
                </c:pt>
                <c:pt idx="3">
                  <c:v>643</c:v>
                </c:pt>
                <c:pt idx="4">
                  <c:v>965</c:v>
                </c:pt>
                <c:pt idx="5">
                  <c:v>1185</c:v>
                </c:pt>
              </c:numCache>
            </c:numRef>
          </c:val>
          <c:extLst>
            <c:ext xmlns:c16="http://schemas.microsoft.com/office/drawing/2014/chart" uri="{C3380CC4-5D6E-409C-BE32-E72D297353CC}">
              <c16:uniqueId val="{00000002-4EA9-4366-AA5E-F5839E3BD35C}"/>
            </c:ext>
          </c:extLst>
        </c:ser>
        <c:ser>
          <c:idx val="3"/>
          <c:order val="3"/>
          <c:tx>
            <c:strRef>
              <c:f>Sayfa1!$E$1</c:f>
              <c:strCache>
                <c:ptCount val="1"/>
                <c:pt idx="0">
                  <c:v>Denge</c:v>
                </c:pt>
              </c:strCache>
            </c:strRef>
          </c:tx>
          <c:spPr>
            <a:solidFill>
              <a:schemeClr val="accent4"/>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-41</c:v>
                </c:pt>
                <c:pt idx="1">
                  <c:v>-130</c:v>
                </c:pt>
                <c:pt idx="2">
                  <c:v>-127</c:v>
                </c:pt>
                <c:pt idx="3">
                  <c:v>-92</c:v>
                </c:pt>
                <c:pt idx="4">
                  <c:v>-176</c:v>
                </c:pt>
                <c:pt idx="5">
                  <c:v>-280</c:v>
                </c:pt>
              </c:numCache>
            </c:numRef>
          </c:val>
          <c:extLst>
            <c:ext xmlns:c16="http://schemas.microsoft.com/office/drawing/2014/chart" uri="{C3380CC4-5D6E-409C-BE32-E72D297353CC}">
              <c16:uniqueId val="{00000003-4EA9-4366-AA5E-F5839E3BD35C}"/>
            </c:ext>
          </c:extLst>
        </c:ser>
        <c:dLbls>
          <c:showLegendKey val="0"/>
          <c:showVal val="0"/>
          <c:showCatName val="0"/>
          <c:showSerName val="0"/>
          <c:showPercent val="0"/>
          <c:showBubbleSize val="0"/>
        </c:dLbls>
        <c:gapWidth val="150"/>
        <c:shape val="box"/>
        <c:axId val="504934688"/>
        <c:axId val="504941904"/>
        <c:axId val="0"/>
      </c:bar3DChart>
      <c:catAx>
        <c:axId val="50493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4941904"/>
        <c:crosses val="autoZero"/>
        <c:auto val="1"/>
        <c:lblAlgn val="ctr"/>
        <c:lblOffset val="100"/>
        <c:noMultiLvlLbl val="0"/>
      </c:catAx>
      <c:valAx>
        <c:axId val="50494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4934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600" b="1" i="0" u="none" strike="noStrike" kern="1200" baseline="0">
                <a:solidFill>
                  <a:schemeClr val="tx1">
                    <a:lumMod val="65000"/>
                    <a:lumOff val="35000"/>
                  </a:schemeClr>
                </a:solidFill>
                <a:latin typeface="+mn-lt"/>
                <a:ea typeface="+mn-ea"/>
                <a:cs typeface="+mn-cs"/>
              </a:defRPr>
            </a:pPr>
            <a:r>
              <a:rPr lang="tr-TR" sz="1400" b="1" i="0" u="none" strike="noStrike" baseline="0"/>
              <a:t>Hindistan'ın Ülkelere Göre İhracatı - 2022 (milyar dolar, % pay)</a:t>
            </a:r>
            <a:endParaRPr lang="en-US" sz="1400" b="1"/>
          </a:p>
        </c:rich>
      </c:tx>
      <c:overlay val="0"/>
      <c:spPr>
        <a:noFill/>
        <a:ln>
          <a:noFill/>
        </a:ln>
        <a:effectLst/>
      </c:spPr>
      <c:txPr>
        <a:bodyPr rot="0" spcFirstLastPara="1" vertOverflow="ellipsis" vert="horz" wrap="square" anchor="ctr" anchorCtr="1"/>
        <a:lstStyle/>
        <a:p>
          <a:pPr algn="r">
            <a:defRPr sz="1600" b="1" i="0" u="none" strike="noStrike" kern="120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41C-4D39-89EB-AD3FA3E8F6B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41C-4D39-89EB-AD3FA3E8F6B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41C-4D39-89EB-AD3FA3E8F6B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41C-4D39-89EB-AD3FA3E8F6B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41C-4D39-89EB-AD3FA3E8F6B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441C-4D39-89EB-AD3FA3E8F6B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441C-4D39-89EB-AD3FA3E8F6B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441C-4D39-89EB-AD3FA3E8F6B7}"/>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441C-4D39-89EB-AD3FA3E8F6B7}"/>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441C-4D39-89EB-AD3FA3E8F6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Sayfa1!$A$2:$A$11</c:f>
              <c:strCache>
                <c:ptCount val="10"/>
                <c:pt idx="0">
                  <c:v>TÜRKİYE</c:v>
                </c:pt>
                <c:pt idx="1">
                  <c:v>ALMANYA</c:v>
                </c:pt>
                <c:pt idx="2">
                  <c:v>İNGİLTERE</c:v>
                </c:pt>
                <c:pt idx="3">
                  <c:v>SİNGAPUR</c:v>
                </c:pt>
                <c:pt idx="4">
                  <c:v>BANGLADEŞ</c:v>
                </c:pt>
                <c:pt idx="5">
                  <c:v>ÇİN</c:v>
                </c:pt>
                <c:pt idx="6">
                  <c:v>HOLLANDA</c:v>
                </c:pt>
                <c:pt idx="7">
                  <c:v>DİĞERLERİ</c:v>
                </c:pt>
                <c:pt idx="8">
                  <c:v>ABD</c:v>
                </c:pt>
                <c:pt idx="9">
                  <c:v>BAE</c:v>
                </c:pt>
              </c:strCache>
            </c:strRef>
          </c:cat>
          <c:val>
            <c:numRef>
              <c:f>Sayfa1!$B$2:$B$11</c:f>
              <c:numCache>
                <c:formatCode>General</c:formatCode>
                <c:ptCount val="10"/>
                <c:pt idx="0">
                  <c:v>10</c:v>
                </c:pt>
                <c:pt idx="1">
                  <c:v>10</c:v>
                </c:pt>
                <c:pt idx="2">
                  <c:v>11</c:v>
                </c:pt>
                <c:pt idx="3">
                  <c:v>12</c:v>
                </c:pt>
                <c:pt idx="4">
                  <c:v>14</c:v>
                </c:pt>
                <c:pt idx="5">
                  <c:v>15</c:v>
                </c:pt>
                <c:pt idx="6">
                  <c:v>19</c:v>
                </c:pt>
                <c:pt idx="7">
                  <c:v>240</c:v>
                </c:pt>
                <c:pt idx="8">
                  <c:v>80</c:v>
                </c:pt>
                <c:pt idx="9">
                  <c:v>31</c:v>
                </c:pt>
              </c:numCache>
            </c:numRef>
          </c:val>
          <c:extLst>
            <c:ext xmlns:c16="http://schemas.microsoft.com/office/drawing/2014/chart" uri="{C3380CC4-5D6E-409C-BE32-E72D297353CC}">
              <c16:uniqueId val="{00000000-4886-4BD6-95CF-157D791A601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t>Hindistan'ın Ülkelere Göre İthalatı - 2022 (milyar dolar, %  pay)</a:t>
            </a:r>
            <a:endParaRPr lang="en-US" b="1"/>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CB-43D8-812E-C25B5F0B96B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CB-43D8-812E-C25B5F0B96B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CB-43D8-812E-C25B5F0B96B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CB-43D8-812E-C25B5F0B96B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CB-43D8-812E-C25B5F0B96B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FCB-43D8-812E-C25B5F0B96B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FCB-43D8-812E-C25B5F0B96B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FCB-43D8-812E-C25B5F0B96B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FCB-43D8-812E-C25B5F0B96B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FCB-43D8-812E-C25B5F0B96BC}"/>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FCB-43D8-812E-C25B5F0B96BC}"/>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FCB-43D8-812E-C25B5F0B96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Sayfa1!$A$2:$A$13</c:f>
              <c:strCache>
                <c:ptCount val="12"/>
                <c:pt idx="0">
                  <c:v>ÇİN</c:v>
                </c:pt>
                <c:pt idx="1">
                  <c:v>BAE</c:v>
                </c:pt>
                <c:pt idx="2">
                  <c:v>ABD</c:v>
                </c:pt>
                <c:pt idx="3">
                  <c:v>S.ARABİSTAN </c:v>
                </c:pt>
                <c:pt idx="4">
                  <c:v>RUSYA</c:v>
                </c:pt>
                <c:pt idx="5">
                  <c:v>IRAK</c:v>
                </c:pt>
                <c:pt idx="6">
                  <c:v>ENDONEZYA</c:v>
                </c:pt>
                <c:pt idx="7">
                  <c:v>SİNGAPUR</c:v>
                </c:pt>
                <c:pt idx="8">
                  <c:v>G.KORE</c:v>
                </c:pt>
                <c:pt idx="9">
                  <c:v>AVUSTRALYA</c:v>
                </c:pt>
                <c:pt idx="10">
                  <c:v>TÜRKİYE </c:v>
                </c:pt>
                <c:pt idx="11">
                  <c:v>DİĞERLERİ</c:v>
                </c:pt>
              </c:strCache>
            </c:strRef>
          </c:cat>
          <c:val>
            <c:numRef>
              <c:f>Sayfa1!$B$2:$B$13</c:f>
              <c:numCache>
                <c:formatCode>General</c:formatCode>
                <c:ptCount val="12"/>
                <c:pt idx="0">
                  <c:v>102</c:v>
                </c:pt>
                <c:pt idx="1">
                  <c:v>54</c:v>
                </c:pt>
                <c:pt idx="2">
                  <c:v>52</c:v>
                </c:pt>
                <c:pt idx="3">
                  <c:v>46</c:v>
                </c:pt>
                <c:pt idx="4">
                  <c:v>41</c:v>
                </c:pt>
                <c:pt idx="5">
                  <c:v>39</c:v>
                </c:pt>
                <c:pt idx="6">
                  <c:v>29</c:v>
                </c:pt>
                <c:pt idx="7">
                  <c:v>24</c:v>
                </c:pt>
                <c:pt idx="8">
                  <c:v>21</c:v>
                </c:pt>
                <c:pt idx="9">
                  <c:v>20</c:v>
                </c:pt>
                <c:pt idx="10">
                  <c:v>4</c:v>
                </c:pt>
                <c:pt idx="11">
                  <c:v>302</c:v>
                </c:pt>
              </c:numCache>
            </c:numRef>
          </c:val>
          <c:extLst>
            <c:ext xmlns:c16="http://schemas.microsoft.com/office/drawing/2014/chart" uri="{C3380CC4-5D6E-409C-BE32-E72D297353CC}">
              <c16:uniqueId val="{00000000-B2F9-4F8A-8778-D2F5D24BF80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latin typeface="Arial" panose="020B0604020202020204" pitchFamily="34" charset="0"/>
                <a:cs typeface="Arial" panose="020B0604020202020204" pitchFamily="34" charset="0"/>
              </a:rPr>
              <a:t>Türkiye'nin Hindistan ile Ticareti (milyar dolar</a:t>
            </a:r>
            <a:r>
              <a:rPr lang="tr-TR" sz="1400" b="0" i="0" u="none" strike="noStrike" baseline="0"/>
              <a:t>)</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0</c:v>
                </c:pt>
                <c:pt idx="1">
                  <c:v>1</c:v>
                </c:pt>
                <c:pt idx="2">
                  <c:v>1</c:v>
                </c:pt>
                <c:pt idx="3">
                  <c:v>1</c:v>
                </c:pt>
                <c:pt idx="4">
                  <c:v>1</c:v>
                </c:pt>
                <c:pt idx="5">
                  <c:v>2</c:v>
                </c:pt>
              </c:numCache>
            </c:numRef>
          </c:val>
          <c:extLst>
            <c:ext xmlns:c16="http://schemas.microsoft.com/office/drawing/2014/chart" uri="{C3380CC4-5D6E-409C-BE32-E72D297353CC}">
              <c16:uniqueId val="{00000000-A2AB-4A5C-85F4-73817762E05A}"/>
            </c:ext>
          </c:extLst>
        </c:ser>
        <c:ser>
          <c:idx val="1"/>
          <c:order val="1"/>
          <c:tx>
            <c:strRef>
              <c:f>Sayfa1!$C$1</c:f>
              <c:strCache>
                <c:ptCount val="1"/>
                <c:pt idx="0">
                  <c:v>İthalat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1</c:v>
                </c:pt>
                <c:pt idx="1">
                  <c:v>3</c:v>
                </c:pt>
                <c:pt idx="2">
                  <c:v>6</c:v>
                </c:pt>
                <c:pt idx="3">
                  <c:v>5</c:v>
                </c:pt>
                <c:pt idx="4">
                  <c:v>8</c:v>
                </c:pt>
                <c:pt idx="5">
                  <c:v>11</c:v>
                </c:pt>
              </c:numCache>
            </c:numRef>
          </c:val>
          <c:extLst>
            <c:ext xmlns:c16="http://schemas.microsoft.com/office/drawing/2014/chart" uri="{C3380CC4-5D6E-409C-BE32-E72D297353CC}">
              <c16:uniqueId val="{00000001-A2AB-4A5C-85F4-73817762E05A}"/>
            </c:ext>
          </c:extLst>
        </c:ser>
        <c:ser>
          <c:idx val="2"/>
          <c:order val="2"/>
          <c:tx>
            <c:strRef>
              <c:f>Sayfa1!$D$1</c:f>
              <c:strCache>
                <c:ptCount val="1"/>
                <c:pt idx="0">
                  <c:v>Hacim</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2</c:v>
                </c:pt>
                <c:pt idx="1">
                  <c:v>4</c:v>
                </c:pt>
                <c:pt idx="2">
                  <c:v>6</c:v>
                </c:pt>
                <c:pt idx="3">
                  <c:v>6</c:v>
                </c:pt>
                <c:pt idx="4">
                  <c:v>9</c:v>
                </c:pt>
                <c:pt idx="5">
                  <c:v>12</c:v>
                </c:pt>
              </c:numCache>
            </c:numRef>
          </c:val>
          <c:extLst>
            <c:ext xmlns:c16="http://schemas.microsoft.com/office/drawing/2014/chart" uri="{C3380CC4-5D6E-409C-BE32-E72D297353CC}">
              <c16:uniqueId val="{00000002-A2AB-4A5C-85F4-73817762E05A}"/>
            </c:ext>
          </c:extLst>
        </c:ser>
        <c:ser>
          <c:idx val="3"/>
          <c:order val="3"/>
          <c:tx>
            <c:strRef>
              <c:f>Sayfa1!$E$1</c:f>
              <c:strCache>
                <c:ptCount val="1"/>
                <c:pt idx="0">
                  <c:v>Denge</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-1</c:v>
                </c:pt>
                <c:pt idx="1">
                  <c:v>-3</c:v>
                </c:pt>
                <c:pt idx="2">
                  <c:v>-5</c:v>
                </c:pt>
                <c:pt idx="3">
                  <c:v>-4</c:v>
                </c:pt>
                <c:pt idx="4">
                  <c:v>-7</c:v>
                </c:pt>
                <c:pt idx="5">
                  <c:v>-9</c:v>
                </c:pt>
              </c:numCache>
            </c:numRef>
          </c:val>
          <c:extLst>
            <c:ext xmlns:c16="http://schemas.microsoft.com/office/drawing/2014/chart" uri="{C3380CC4-5D6E-409C-BE32-E72D297353CC}">
              <c16:uniqueId val="{00000003-A2AB-4A5C-85F4-73817762E05A}"/>
            </c:ext>
          </c:extLst>
        </c:ser>
        <c:dLbls>
          <c:showLegendKey val="0"/>
          <c:showVal val="1"/>
          <c:showCatName val="0"/>
          <c:showSerName val="0"/>
          <c:showPercent val="0"/>
          <c:showBubbleSize val="0"/>
        </c:dLbls>
        <c:gapWidth val="150"/>
        <c:shape val="box"/>
        <c:axId val="372444880"/>
        <c:axId val="372445208"/>
        <c:axId val="0"/>
      </c:bar3DChart>
      <c:catAx>
        <c:axId val="37244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2445208"/>
        <c:crosses val="autoZero"/>
        <c:auto val="1"/>
        <c:lblAlgn val="ctr"/>
        <c:lblOffset val="100"/>
        <c:noMultiLvlLbl val="0"/>
      </c:catAx>
      <c:valAx>
        <c:axId val="37244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244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1754</Words>
  <Characters>10003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2024-04-01T12:14:00Z</dcterms:created>
  <dcterms:modified xsi:type="dcterms:W3CDTF">2024-04-22T12:57:00Z</dcterms:modified>
</cp:coreProperties>
</file>